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F2" w:rsidRDefault="00D13C60" w:rsidP="004B5B06">
      <w:pPr>
        <w:jc w:val="both"/>
        <w:rPr>
          <w:rFonts w:ascii="Arial" w:hAnsi="Arial" w:cs="Arial"/>
        </w:rPr>
      </w:pPr>
      <w:bookmarkStart w:id="0" w:name="_GoBack"/>
      <w:bookmarkEnd w:id="0"/>
      <w:r>
        <w:rPr>
          <w:rFonts w:ascii="Arial" w:hAnsi="Arial" w:cs="Arial"/>
        </w:rPr>
        <w:t xml:space="preserve">  </w:t>
      </w: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C47A5B" w:rsidRDefault="00C47A5B" w:rsidP="004B5B06">
      <w:pPr>
        <w:jc w:val="both"/>
        <w:rPr>
          <w:rFonts w:ascii="Arial" w:hAnsi="Arial" w:cs="Arial"/>
        </w:rPr>
      </w:pPr>
    </w:p>
    <w:p w:rsidR="00C47A5B" w:rsidRDefault="00C47A5B" w:rsidP="00C47A5B">
      <w:pPr>
        <w:jc w:val="center"/>
        <w:rPr>
          <w:rFonts w:cs="Arial"/>
          <w:b/>
          <w:sz w:val="48"/>
          <w:szCs w:val="48"/>
        </w:rPr>
      </w:pPr>
    </w:p>
    <w:p w:rsidR="00C47A5B" w:rsidRDefault="00C16277" w:rsidP="003D7B0B">
      <w:pPr>
        <w:spacing w:after="0"/>
        <w:jc w:val="center"/>
        <w:rPr>
          <w:rFonts w:cs="Arial"/>
          <w:b/>
          <w:sz w:val="48"/>
          <w:szCs w:val="48"/>
        </w:rPr>
      </w:pPr>
      <w:r>
        <w:rPr>
          <w:rFonts w:cs="Arial"/>
          <w:b/>
          <w:sz w:val="48"/>
          <w:szCs w:val="48"/>
        </w:rPr>
        <w:t xml:space="preserve">Segon </w:t>
      </w:r>
      <w:r w:rsidR="00C47A5B" w:rsidRPr="00C47A5B">
        <w:rPr>
          <w:rFonts w:cs="Arial"/>
          <w:b/>
          <w:sz w:val="48"/>
          <w:szCs w:val="48"/>
        </w:rPr>
        <w:t xml:space="preserve">Informe </w:t>
      </w:r>
      <w:r w:rsidR="00496C82">
        <w:rPr>
          <w:rFonts w:cs="Arial"/>
          <w:b/>
          <w:sz w:val="48"/>
          <w:szCs w:val="48"/>
        </w:rPr>
        <w:t xml:space="preserve">sobre </w:t>
      </w:r>
      <w:r w:rsidR="00EC37BF">
        <w:rPr>
          <w:rFonts w:cs="Arial"/>
          <w:b/>
          <w:sz w:val="48"/>
          <w:szCs w:val="48"/>
        </w:rPr>
        <w:t>l’</w:t>
      </w:r>
      <w:r w:rsidR="007A36A5">
        <w:rPr>
          <w:rFonts w:cs="Arial"/>
          <w:b/>
          <w:sz w:val="48"/>
          <w:szCs w:val="48"/>
        </w:rPr>
        <w:t>E</w:t>
      </w:r>
      <w:r w:rsidR="00496C82">
        <w:rPr>
          <w:rFonts w:cs="Arial"/>
          <w:b/>
          <w:sz w:val="48"/>
          <w:szCs w:val="48"/>
        </w:rPr>
        <w:t>volució de les</w:t>
      </w:r>
      <w:r w:rsidR="000E7970">
        <w:rPr>
          <w:rFonts w:cs="Arial"/>
          <w:b/>
          <w:sz w:val="48"/>
          <w:szCs w:val="48"/>
        </w:rPr>
        <w:t xml:space="preserve"> </w:t>
      </w:r>
      <w:r w:rsidR="00C47A5B" w:rsidRPr="00C47A5B">
        <w:rPr>
          <w:rFonts w:cs="Arial"/>
          <w:b/>
          <w:sz w:val="48"/>
          <w:szCs w:val="48"/>
        </w:rPr>
        <w:t>Desigualtats</w:t>
      </w:r>
      <w:r w:rsidR="00496C82">
        <w:rPr>
          <w:rFonts w:cs="Arial"/>
          <w:b/>
          <w:sz w:val="48"/>
          <w:szCs w:val="48"/>
        </w:rPr>
        <w:t xml:space="preserve"> S</w:t>
      </w:r>
      <w:r w:rsidR="00C47A5B" w:rsidRPr="00C47A5B">
        <w:rPr>
          <w:rFonts w:cs="Arial"/>
          <w:b/>
          <w:sz w:val="48"/>
          <w:szCs w:val="48"/>
        </w:rPr>
        <w:t>ocials</w:t>
      </w:r>
      <w:r w:rsidR="00496C82">
        <w:rPr>
          <w:rFonts w:cs="Arial"/>
          <w:b/>
          <w:sz w:val="48"/>
          <w:szCs w:val="48"/>
        </w:rPr>
        <w:t xml:space="preserve"> a </w:t>
      </w:r>
      <w:r w:rsidR="00C47A5B">
        <w:rPr>
          <w:rFonts w:cs="Arial"/>
          <w:b/>
          <w:sz w:val="48"/>
          <w:szCs w:val="48"/>
        </w:rPr>
        <w:t>Catalunya</w:t>
      </w:r>
      <w:r>
        <w:rPr>
          <w:rFonts w:cs="Arial"/>
          <w:b/>
          <w:sz w:val="48"/>
          <w:szCs w:val="48"/>
        </w:rPr>
        <w:t>: AUGMENTA LA BRETXA SOCIAL</w:t>
      </w:r>
    </w:p>
    <w:p w:rsidR="00C47A5B" w:rsidRDefault="00C47A5B" w:rsidP="004B5B06">
      <w:pPr>
        <w:jc w:val="both"/>
        <w:rPr>
          <w:rFonts w:ascii="Arial" w:hAnsi="Arial" w:cs="Arial"/>
        </w:rPr>
      </w:pPr>
    </w:p>
    <w:p w:rsidR="00C47A5B" w:rsidRDefault="00C47A5B" w:rsidP="004B5B06">
      <w:pPr>
        <w:jc w:val="both"/>
        <w:rPr>
          <w:rFonts w:ascii="Arial" w:hAnsi="Arial" w:cs="Arial"/>
        </w:rPr>
      </w:pPr>
    </w:p>
    <w:p w:rsidR="002A31F2" w:rsidRDefault="002A31F2" w:rsidP="004B5B06">
      <w:pPr>
        <w:jc w:val="both"/>
        <w:rPr>
          <w:rFonts w:ascii="Arial" w:hAnsi="Arial" w:cs="Arial"/>
        </w:rPr>
      </w:pPr>
    </w:p>
    <w:p w:rsidR="002A31F2" w:rsidRDefault="00783712" w:rsidP="00C47A5B">
      <w:pPr>
        <w:jc w:val="center"/>
        <w:rPr>
          <w:rFonts w:ascii="Arial" w:hAnsi="Arial" w:cs="Arial"/>
        </w:rPr>
      </w:pPr>
      <w:r>
        <w:rPr>
          <w:noProof/>
          <w:lang w:eastAsia="ca-ES"/>
        </w:rPr>
        <w:drawing>
          <wp:inline distT="0" distB="0" distL="0" distR="0">
            <wp:extent cx="1671955" cy="993140"/>
            <wp:effectExtent l="19050" t="0" r="4445" b="0"/>
            <wp:docPr id="1" name="Imatge 1" descr="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
                    <pic:cNvPicPr>
                      <a:picLocks noChangeAspect="1" noChangeArrowheads="1"/>
                    </pic:cNvPicPr>
                  </pic:nvPicPr>
                  <pic:blipFill>
                    <a:blip r:embed="rId9" cstate="print"/>
                    <a:srcRect/>
                    <a:stretch>
                      <a:fillRect/>
                    </a:stretch>
                  </pic:blipFill>
                  <pic:spPr bwMode="auto">
                    <a:xfrm>
                      <a:off x="0" y="0"/>
                      <a:ext cx="1671955" cy="993140"/>
                    </a:xfrm>
                    <a:prstGeom prst="rect">
                      <a:avLst/>
                    </a:prstGeom>
                    <a:noFill/>
                    <a:ln w="9525">
                      <a:noFill/>
                      <a:miter lim="800000"/>
                      <a:headEnd/>
                      <a:tailEnd/>
                    </a:ln>
                  </pic:spPr>
                </pic:pic>
              </a:graphicData>
            </a:graphic>
          </wp:inline>
        </w:drawing>
      </w:r>
    </w:p>
    <w:p w:rsidR="002A31F2" w:rsidRDefault="002A31F2" w:rsidP="004B5B06">
      <w:pPr>
        <w:jc w:val="both"/>
        <w:rPr>
          <w:rFonts w:ascii="Arial" w:hAnsi="Arial" w:cs="Arial"/>
        </w:rPr>
      </w:pPr>
    </w:p>
    <w:p w:rsidR="002A31F2" w:rsidRDefault="00783712" w:rsidP="00C47A5B">
      <w:pPr>
        <w:jc w:val="center"/>
        <w:rPr>
          <w:rFonts w:ascii="Arial" w:hAnsi="Arial" w:cs="Arial"/>
        </w:rPr>
      </w:pPr>
      <w:r>
        <w:rPr>
          <w:noProof/>
          <w:lang w:eastAsia="ca-ES"/>
        </w:rPr>
        <w:drawing>
          <wp:inline distT="0" distB="0" distL="0" distR="0">
            <wp:extent cx="1217295" cy="1245235"/>
            <wp:effectExtent l="19050" t="0" r="1905" b="0"/>
            <wp:docPr id="2" name="Imatge 2" descr="logo50aniver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50aniversari"/>
                    <pic:cNvPicPr>
                      <a:picLocks noChangeAspect="1" noChangeArrowheads="1"/>
                    </pic:cNvPicPr>
                  </pic:nvPicPr>
                  <pic:blipFill>
                    <a:blip r:embed="rId10" cstate="print"/>
                    <a:srcRect/>
                    <a:stretch>
                      <a:fillRect/>
                    </a:stretch>
                  </pic:blipFill>
                  <pic:spPr bwMode="auto">
                    <a:xfrm>
                      <a:off x="0" y="0"/>
                      <a:ext cx="1217295" cy="1245235"/>
                    </a:xfrm>
                    <a:prstGeom prst="rect">
                      <a:avLst/>
                    </a:prstGeom>
                    <a:noFill/>
                    <a:ln w="9525">
                      <a:noFill/>
                      <a:miter lim="800000"/>
                      <a:headEnd/>
                      <a:tailEnd/>
                    </a:ln>
                  </pic:spPr>
                </pic:pic>
              </a:graphicData>
            </a:graphic>
          </wp:inline>
        </w:drawing>
      </w: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Pr="00100372" w:rsidRDefault="00100372" w:rsidP="00100372">
      <w:pPr>
        <w:jc w:val="center"/>
        <w:rPr>
          <w:rFonts w:ascii="Arial" w:hAnsi="Arial" w:cs="Arial"/>
          <w:b/>
          <w:sz w:val="28"/>
          <w:szCs w:val="28"/>
        </w:rPr>
      </w:pPr>
      <w:r w:rsidRPr="00100372">
        <w:rPr>
          <w:rFonts w:ascii="Arial" w:hAnsi="Arial" w:cs="Arial"/>
          <w:b/>
          <w:sz w:val="28"/>
          <w:szCs w:val="28"/>
        </w:rPr>
        <w:t>(Novembre 2015)</w:t>
      </w: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EC37BF" w:rsidRDefault="00EC37BF" w:rsidP="004B5B06">
      <w:pPr>
        <w:jc w:val="both"/>
        <w:rPr>
          <w:rFonts w:ascii="Arial" w:hAnsi="Arial" w:cs="Arial"/>
        </w:rPr>
        <w:sectPr w:rsidR="00EC37BF" w:rsidSect="002A31F2">
          <w:headerReference w:type="first" r:id="rId11"/>
          <w:pgSz w:w="11906" w:h="16838"/>
          <w:pgMar w:top="1417" w:right="1701" w:bottom="1417" w:left="1701" w:header="708" w:footer="708" w:gutter="0"/>
          <w:cols w:space="708"/>
          <w:titlePg/>
          <w:docGrid w:linePitch="360"/>
        </w:sectPr>
      </w:pPr>
    </w:p>
    <w:p w:rsidR="002A31F2" w:rsidRDefault="002A31F2" w:rsidP="004B5B06">
      <w:pPr>
        <w:jc w:val="both"/>
        <w:rPr>
          <w:rFonts w:ascii="Arial" w:hAnsi="Arial" w:cs="Arial"/>
        </w:rPr>
      </w:pPr>
    </w:p>
    <w:tbl>
      <w:tblPr>
        <w:tblW w:w="0" w:type="auto"/>
        <w:jc w:val="center"/>
        <w:tblLook w:val="04A0" w:firstRow="1" w:lastRow="0" w:firstColumn="1" w:lastColumn="0" w:noHBand="0" w:noVBand="1"/>
      </w:tblPr>
      <w:tblGrid>
        <w:gridCol w:w="420"/>
        <w:gridCol w:w="264"/>
        <w:gridCol w:w="5945"/>
        <w:gridCol w:w="850"/>
      </w:tblGrid>
      <w:tr w:rsidR="00EC37BF" w:rsidRPr="003613A0">
        <w:trPr>
          <w:trHeight w:val="425"/>
          <w:jc w:val="center"/>
        </w:trPr>
        <w:tc>
          <w:tcPr>
            <w:tcW w:w="7479" w:type="dxa"/>
            <w:gridSpan w:val="4"/>
            <w:vAlign w:val="center"/>
          </w:tcPr>
          <w:p w:rsidR="00983D88" w:rsidRDefault="00983D88" w:rsidP="00EC37BF">
            <w:pPr>
              <w:spacing w:after="0"/>
              <w:jc w:val="center"/>
              <w:rPr>
                <w:rFonts w:ascii="Arial" w:hAnsi="Arial" w:cs="Arial"/>
                <w:b/>
                <w:sz w:val="36"/>
                <w:szCs w:val="36"/>
              </w:rPr>
            </w:pPr>
          </w:p>
          <w:p w:rsidR="00EC37BF" w:rsidRDefault="003A3299" w:rsidP="00EC37BF">
            <w:pPr>
              <w:spacing w:after="0"/>
              <w:jc w:val="center"/>
              <w:rPr>
                <w:rFonts w:ascii="Arial" w:hAnsi="Arial" w:cs="Arial"/>
                <w:b/>
                <w:sz w:val="36"/>
                <w:szCs w:val="36"/>
              </w:rPr>
            </w:pPr>
            <w:r>
              <w:rPr>
                <w:rFonts w:ascii="Arial" w:hAnsi="Arial" w:cs="Arial"/>
                <w:b/>
                <w:sz w:val="36"/>
                <w:szCs w:val="36"/>
              </w:rPr>
              <w:t>Índex</w:t>
            </w:r>
          </w:p>
          <w:p w:rsidR="00EC37BF" w:rsidRPr="0090495A" w:rsidRDefault="00EC37BF" w:rsidP="00983D88">
            <w:pPr>
              <w:spacing w:after="0"/>
              <w:rPr>
                <w:rFonts w:ascii="Arial" w:hAnsi="Arial" w:cs="Arial"/>
                <w:b/>
                <w:sz w:val="24"/>
                <w:szCs w:val="24"/>
              </w:rPr>
            </w:pPr>
          </w:p>
        </w:tc>
      </w:tr>
      <w:tr w:rsidR="00EC37BF" w:rsidRPr="003613A0">
        <w:trPr>
          <w:trHeight w:val="425"/>
          <w:jc w:val="center"/>
        </w:trPr>
        <w:tc>
          <w:tcPr>
            <w:tcW w:w="420" w:type="dxa"/>
            <w:vAlign w:val="center"/>
          </w:tcPr>
          <w:p w:rsidR="00EC37BF" w:rsidRPr="003613A0" w:rsidRDefault="00EC37BF" w:rsidP="00DB47DA">
            <w:pPr>
              <w:spacing w:after="0"/>
              <w:rPr>
                <w:rFonts w:ascii="Arial" w:hAnsi="Arial" w:cs="Arial"/>
                <w:b/>
                <w:sz w:val="24"/>
                <w:szCs w:val="24"/>
              </w:rPr>
            </w:pPr>
            <w:r>
              <w:rPr>
                <w:rFonts w:ascii="Arial" w:hAnsi="Arial" w:cs="Arial"/>
                <w:b/>
                <w:sz w:val="24"/>
                <w:szCs w:val="24"/>
              </w:rPr>
              <w:t>0</w:t>
            </w:r>
            <w:r w:rsidRPr="003613A0">
              <w:rPr>
                <w:rFonts w:ascii="Arial" w:hAnsi="Arial" w:cs="Arial"/>
                <w:b/>
                <w:sz w:val="24"/>
                <w:szCs w:val="24"/>
              </w:rPr>
              <w:t xml:space="preserve">. </w:t>
            </w:r>
          </w:p>
        </w:tc>
        <w:tc>
          <w:tcPr>
            <w:tcW w:w="6209" w:type="dxa"/>
            <w:gridSpan w:val="2"/>
            <w:vAlign w:val="center"/>
          </w:tcPr>
          <w:p w:rsidR="00EC37BF" w:rsidRPr="003613A0" w:rsidRDefault="00EC37BF" w:rsidP="00EC37BF">
            <w:pPr>
              <w:spacing w:after="0"/>
              <w:rPr>
                <w:rFonts w:ascii="Arial" w:hAnsi="Arial" w:cs="Arial"/>
                <w:b/>
                <w:sz w:val="24"/>
                <w:szCs w:val="24"/>
              </w:rPr>
            </w:pPr>
            <w:r>
              <w:rPr>
                <w:rFonts w:ascii="Arial" w:hAnsi="Arial" w:cs="Arial"/>
                <w:b/>
                <w:sz w:val="24"/>
                <w:szCs w:val="24"/>
              </w:rPr>
              <w:t>Introducció</w:t>
            </w:r>
          </w:p>
        </w:tc>
        <w:tc>
          <w:tcPr>
            <w:tcW w:w="850" w:type="dxa"/>
            <w:vAlign w:val="center"/>
          </w:tcPr>
          <w:p w:rsidR="00EC37BF" w:rsidRPr="003613A0" w:rsidRDefault="00EC37BF" w:rsidP="00B763C2">
            <w:pPr>
              <w:spacing w:after="0"/>
              <w:jc w:val="center"/>
              <w:rPr>
                <w:rFonts w:ascii="Arial" w:hAnsi="Arial" w:cs="Arial"/>
                <w:b/>
                <w:sz w:val="24"/>
                <w:szCs w:val="24"/>
              </w:rPr>
            </w:pPr>
            <w:r>
              <w:rPr>
                <w:rFonts w:ascii="Arial" w:hAnsi="Arial" w:cs="Arial"/>
                <w:b/>
                <w:sz w:val="24"/>
                <w:szCs w:val="24"/>
              </w:rPr>
              <w:t>5</w:t>
            </w:r>
          </w:p>
        </w:tc>
      </w:tr>
      <w:tr w:rsidR="00EA3E99" w:rsidRPr="003613A0">
        <w:trPr>
          <w:trHeight w:val="559"/>
          <w:jc w:val="center"/>
        </w:trPr>
        <w:tc>
          <w:tcPr>
            <w:tcW w:w="420" w:type="dxa"/>
            <w:vAlign w:val="center"/>
          </w:tcPr>
          <w:p w:rsidR="003613A0" w:rsidRPr="003613A0" w:rsidRDefault="003613A0" w:rsidP="003613A0">
            <w:pPr>
              <w:spacing w:after="0"/>
              <w:rPr>
                <w:rFonts w:ascii="Arial" w:hAnsi="Arial" w:cs="Arial"/>
                <w:b/>
                <w:sz w:val="24"/>
                <w:szCs w:val="24"/>
              </w:rPr>
            </w:pPr>
            <w:r w:rsidRPr="003613A0">
              <w:rPr>
                <w:rFonts w:ascii="Arial" w:hAnsi="Arial" w:cs="Arial"/>
                <w:b/>
                <w:sz w:val="24"/>
                <w:szCs w:val="24"/>
              </w:rPr>
              <w:t xml:space="preserve">1. </w:t>
            </w:r>
          </w:p>
        </w:tc>
        <w:tc>
          <w:tcPr>
            <w:tcW w:w="6209" w:type="dxa"/>
            <w:gridSpan w:val="2"/>
            <w:vAlign w:val="center"/>
          </w:tcPr>
          <w:p w:rsidR="003613A0" w:rsidRPr="003613A0" w:rsidRDefault="00FD6445" w:rsidP="00FD6445">
            <w:pPr>
              <w:spacing w:after="0"/>
              <w:rPr>
                <w:rFonts w:ascii="Arial" w:hAnsi="Arial" w:cs="Arial"/>
                <w:b/>
                <w:sz w:val="24"/>
                <w:szCs w:val="24"/>
              </w:rPr>
            </w:pPr>
            <w:r>
              <w:rPr>
                <w:rFonts w:ascii="Arial" w:hAnsi="Arial" w:cs="Arial"/>
                <w:b/>
                <w:sz w:val="24"/>
                <w:szCs w:val="24"/>
              </w:rPr>
              <w:t>Despesa en protecció social</w:t>
            </w:r>
          </w:p>
        </w:tc>
        <w:tc>
          <w:tcPr>
            <w:tcW w:w="850" w:type="dxa"/>
            <w:vAlign w:val="center"/>
          </w:tcPr>
          <w:p w:rsidR="003613A0" w:rsidRPr="00EC37BF" w:rsidRDefault="00EC37BF" w:rsidP="00B763C2">
            <w:pPr>
              <w:spacing w:after="0"/>
              <w:jc w:val="center"/>
              <w:rPr>
                <w:rFonts w:ascii="Arial" w:hAnsi="Arial" w:cs="Arial"/>
                <w:b/>
                <w:sz w:val="24"/>
                <w:szCs w:val="24"/>
              </w:rPr>
            </w:pPr>
            <w:r w:rsidRPr="00EC37BF">
              <w:rPr>
                <w:rFonts w:ascii="Arial" w:hAnsi="Arial" w:cs="Arial"/>
                <w:b/>
                <w:sz w:val="24"/>
                <w:szCs w:val="24"/>
              </w:rPr>
              <w:t>5</w:t>
            </w:r>
          </w:p>
        </w:tc>
      </w:tr>
      <w:tr w:rsidR="00C63762" w:rsidRPr="003613A0">
        <w:trPr>
          <w:trHeight w:val="559"/>
          <w:jc w:val="center"/>
        </w:trPr>
        <w:tc>
          <w:tcPr>
            <w:tcW w:w="420" w:type="dxa"/>
            <w:vAlign w:val="center"/>
          </w:tcPr>
          <w:p w:rsidR="00C63762" w:rsidRPr="003613A0" w:rsidRDefault="00C63762" w:rsidP="003613A0">
            <w:pPr>
              <w:spacing w:after="0"/>
              <w:rPr>
                <w:rFonts w:ascii="Arial" w:hAnsi="Arial" w:cs="Arial"/>
                <w:b/>
                <w:sz w:val="24"/>
                <w:szCs w:val="24"/>
              </w:rPr>
            </w:pPr>
            <w:r>
              <w:rPr>
                <w:rFonts w:ascii="Arial" w:hAnsi="Arial" w:cs="Arial"/>
                <w:b/>
                <w:sz w:val="24"/>
                <w:szCs w:val="24"/>
              </w:rPr>
              <w:t>2.</w:t>
            </w:r>
          </w:p>
        </w:tc>
        <w:tc>
          <w:tcPr>
            <w:tcW w:w="6209" w:type="dxa"/>
            <w:gridSpan w:val="2"/>
            <w:vAlign w:val="center"/>
          </w:tcPr>
          <w:p w:rsidR="00C63762" w:rsidRPr="003613A0" w:rsidRDefault="00FD6445" w:rsidP="00FD6445">
            <w:pPr>
              <w:spacing w:after="0"/>
              <w:rPr>
                <w:rFonts w:ascii="Arial" w:hAnsi="Arial" w:cs="Arial"/>
                <w:b/>
                <w:sz w:val="24"/>
                <w:szCs w:val="24"/>
              </w:rPr>
            </w:pPr>
            <w:r>
              <w:rPr>
                <w:rFonts w:ascii="Arial" w:hAnsi="Arial" w:cs="Arial"/>
                <w:b/>
                <w:sz w:val="24"/>
                <w:szCs w:val="24"/>
              </w:rPr>
              <w:t>Pressió fiscal</w:t>
            </w:r>
          </w:p>
        </w:tc>
        <w:tc>
          <w:tcPr>
            <w:tcW w:w="850" w:type="dxa"/>
            <w:vAlign w:val="center"/>
          </w:tcPr>
          <w:p w:rsidR="00C63762" w:rsidRPr="003613A0" w:rsidRDefault="00FE5F7C" w:rsidP="00B763C2">
            <w:pPr>
              <w:spacing w:after="0"/>
              <w:jc w:val="center"/>
              <w:rPr>
                <w:rFonts w:ascii="Arial" w:hAnsi="Arial" w:cs="Arial"/>
              </w:rPr>
            </w:pPr>
            <w:r>
              <w:rPr>
                <w:rFonts w:ascii="Arial" w:hAnsi="Arial" w:cs="Arial"/>
                <w:b/>
                <w:sz w:val="24"/>
                <w:szCs w:val="24"/>
              </w:rPr>
              <w:t>8</w:t>
            </w:r>
          </w:p>
        </w:tc>
      </w:tr>
      <w:tr w:rsidR="00E12744" w:rsidRPr="003613A0">
        <w:trPr>
          <w:trHeight w:val="559"/>
          <w:jc w:val="center"/>
        </w:trPr>
        <w:tc>
          <w:tcPr>
            <w:tcW w:w="420" w:type="dxa"/>
            <w:vAlign w:val="center"/>
          </w:tcPr>
          <w:p w:rsidR="00E12744" w:rsidRPr="003613A0" w:rsidRDefault="00007822" w:rsidP="00574C46">
            <w:pPr>
              <w:spacing w:after="0"/>
              <w:rPr>
                <w:rFonts w:ascii="Arial" w:hAnsi="Arial" w:cs="Arial"/>
                <w:b/>
                <w:sz w:val="24"/>
                <w:szCs w:val="24"/>
              </w:rPr>
            </w:pPr>
            <w:r>
              <w:rPr>
                <w:rFonts w:ascii="Arial" w:hAnsi="Arial" w:cs="Arial"/>
                <w:b/>
                <w:sz w:val="24"/>
                <w:szCs w:val="24"/>
              </w:rPr>
              <w:t>3</w:t>
            </w:r>
            <w:r w:rsidR="00E12744">
              <w:rPr>
                <w:rFonts w:ascii="Arial" w:hAnsi="Arial" w:cs="Arial"/>
                <w:b/>
                <w:sz w:val="24"/>
                <w:szCs w:val="24"/>
              </w:rPr>
              <w:t>.</w:t>
            </w:r>
          </w:p>
        </w:tc>
        <w:tc>
          <w:tcPr>
            <w:tcW w:w="6209" w:type="dxa"/>
            <w:gridSpan w:val="2"/>
            <w:vAlign w:val="center"/>
          </w:tcPr>
          <w:p w:rsidR="00E12744" w:rsidRPr="00E12744" w:rsidRDefault="0090495A" w:rsidP="0090495A">
            <w:pPr>
              <w:spacing w:after="0"/>
              <w:rPr>
                <w:rFonts w:ascii="Arial" w:hAnsi="Arial" w:cs="Arial"/>
                <w:b/>
                <w:sz w:val="24"/>
                <w:szCs w:val="24"/>
              </w:rPr>
            </w:pPr>
            <w:r>
              <w:rPr>
                <w:rFonts w:ascii="Arial" w:hAnsi="Arial" w:cs="Arial"/>
                <w:b/>
                <w:sz w:val="24"/>
                <w:szCs w:val="24"/>
              </w:rPr>
              <w:t>Prestacions socials</w:t>
            </w:r>
          </w:p>
        </w:tc>
        <w:tc>
          <w:tcPr>
            <w:tcW w:w="850" w:type="dxa"/>
            <w:vAlign w:val="center"/>
          </w:tcPr>
          <w:p w:rsidR="00E12744" w:rsidRPr="006A715E" w:rsidRDefault="00B763C2" w:rsidP="000E7970">
            <w:pPr>
              <w:spacing w:after="0"/>
              <w:jc w:val="center"/>
              <w:rPr>
                <w:rFonts w:ascii="Arial" w:hAnsi="Arial" w:cs="Arial"/>
                <w:b/>
                <w:sz w:val="24"/>
                <w:szCs w:val="24"/>
              </w:rPr>
            </w:pPr>
            <w:r w:rsidRPr="006A715E">
              <w:rPr>
                <w:rFonts w:ascii="Arial" w:hAnsi="Arial" w:cs="Arial"/>
                <w:b/>
                <w:sz w:val="24"/>
                <w:szCs w:val="24"/>
              </w:rPr>
              <w:t>1</w:t>
            </w:r>
            <w:r w:rsidR="000E7970">
              <w:rPr>
                <w:rFonts w:ascii="Arial" w:hAnsi="Arial" w:cs="Arial"/>
                <w:b/>
                <w:sz w:val="24"/>
                <w:szCs w:val="24"/>
              </w:rPr>
              <w:t>4</w:t>
            </w:r>
          </w:p>
        </w:tc>
      </w:tr>
      <w:tr w:rsidR="00FC6F02" w:rsidRPr="003613A0">
        <w:trPr>
          <w:trHeight w:val="559"/>
          <w:jc w:val="center"/>
        </w:trPr>
        <w:tc>
          <w:tcPr>
            <w:tcW w:w="420" w:type="dxa"/>
            <w:vAlign w:val="center"/>
          </w:tcPr>
          <w:p w:rsidR="00FC6F02" w:rsidRPr="003613A0" w:rsidRDefault="00007822" w:rsidP="00574C46">
            <w:pPr>
              <w:spacing w:after="0"/>
              <w:rPr>
                <w:rFonts w:ascii="Arial" w:hAnsi="Arial" w:cs="Arial"/>
                <w:b/>
                <w:sz w:val="24"/>
                <w:szCs w:val="24"/>
              </w:rPr>
            </w:pPr>
            <w:r>
              <w:rPr>
                <w:rFonts w:ascii="Arial" w:hAnsi="Arial" w:cs="Arial"/>
                <w:b/>
                <w:sz w:val="24"/>
                <w:szCs w:val="24"/>
              </w:rPr>
              <w:t>4</w:t>
            </w:r>
            <w:r w:rsidR="00FC6F02">
              <w:rPr>
                <w:rFonts w:ascii="Arial" w:hAnsi="Arial" w:cs="Arial"/>
                <w:b/>
                <w:sz w:val="24"/>
                <w:szCs w:val="24"/>
              </w:rPr>
              <w:t>.</w:t>
            </w:r>
          </w:p>
        </w:tc>
        <w:tc>
          <w:tcPr>
            <w:tcW w:w="6209" w:type="dxa"/>
            <w:gridSpan w:val="2"/>
            <w:vAlign w:val="center"/>
          </w:tcPr>
          <w:p w:rsidR="00FC6F02" w:rsidRPr="00E12744" w:rsidRDefault="0090495A" w:rsidP="00574C46">
            <w:pPr>
              <w:spacing w:after="0"/>
              <w:rPr>
                <w:rFonts w:ascii="Arial" w:hAnsi="Arial" w:cs="Arial"/>
                <w:b/>
                <w:sz w:val="24"/>
                <w:szCs w:val="24"/>
              </w:rPr>
            </w:pPr>
            <w:r>
              <w:rPr>
                <w:rFonts w:ascii="Arial" w:hAnsi="Arial" w:cs="Arial"/>
                <w:b/>
                <w:sz w:val="24"/>
                <w:szCs w:val="24"/>
              </w:rPr>
              <w:t>Mercat de treball</w:t>
            </w:r>
          </w:p>
        </w:tc>
        <w:tc>
          <w:tcPr>
            <w:tcW w:w="850" w:type="dxa"/>
            <w:vAlign w:val="center"/>
          </w:tcPr>
          <w:p w:rsidR="00FC6F02" w:rsidRPr="00D12917" w:rsidRDefault="006A715E" w:rsidP="00574DE8">
            <w:pPr>
              <w:spacing w:after="0"/>
              <w:jc w:val="center"/>
              <w:rPr>
                <w:rFonts w:ascii="Arial" w:hAnsi="Arial" w:cs="Arial"/>
                <w:b/>
                <w:sz w:val="24"/>
                <w:szCs w:val="24"/>
              </w:rPr>
            </w:pPr>
            <w:r w:rsidRPr="00D12917">
              <w:rPr>
                <w:rFonts w:ascii="Arial" w:hAnsi="Arial" w:cs="Arial"/>
                <w:b/>
                <w:sz w:val="24"/>
                <w:szCs w:val="24"/>
              </w:rPr>
              <w:t>1</w:t>
            </w:r>
            <w:r w:rsidR="00574DE8">
              <w:rPr>
                <w:rFonts w:ascii="Arial" w:hAnsi="Arial" w:cs="Arial"/>
                <w:b/>
                <w:sz w:val="24"/>
                <w:szCs w:val="24"/>
              </w:rPr>
              <w:t>9</w:t>
            </w:r>
          </w:p>
        </w:tc>
      </w:tr>
      <w:tr w:rsidR="00E22D21" w:rsidRPr="003613A0">
        <w:trPr>
          <w:trHeight w:val="559"/>
          <w:jc w:val="center"/>
        </w:trPr>
        <w:tc>
          <w:tcPr>
            <w:tcW w:w="420" w:type="dxa"/>
            <w:vAlign w:val="center"/>
          </w:tcPr>
          <w:p w:rsidR="00E22D21" w:rsidRPr="003613A0" w:rsidRDefault="000A0A64" w:rsidP="000A0A64">
            <w:pPr>
              <w:spacing w:after="0"/>
              <w:rPr>
                <w:rFonts w:ascii="Arial" w:hAnsi="Arial" w:cs="Arial"/>
                <w:b/>
                <w:sz w:val="24"/>
                <w:szCs w:val="24"/>
              </w:rPr>
            </w:pPr>
            <w:r>
              <w:rPr>
                <w:rFonts w:ascii="Arial" w:hAnsi="Arial" w:cs="Arial"/>
                <w:b/>
                <w:sz w:val="24"/>
                <w:szCs w:val="24"/>
              </w:rPr>
              <w:t>5</w:t>
            </w:r>
            <w:r w:rsidR="00E22D21">
              <w:rPr>
                <w:rFonts w:ascii="Arial" w:hAnsi="Arial" w:cs="Arial"/>
                <w:b/>
                <w:sz w:val="24"/>
                <w:szCs w:val="24"/>
              </w:rPr>
              <w:t>.</w:t>
            </w:r>
          </w:p>
        </w:tc>
        <w:tc>
          <w:tcPr>
            <w:tcW w:w="6209" w:type="dxa"/>
            <w:gridSpan w:val="2"/>
            <w:vAlign w:val="center"/>
          </w:tcPr>
          <w:p w:rsidR="00E22D21" w:rsidRPr="00E12744" w:rsidRDefault="0090495A" w:rsidP="0090495A">
            <w:pPr>
              <w:spacing w:after="0"/>
              <w:rPr>
                <w:rFonts w:ascii="Arial" w:hAnsi="Arial" w:cs="Arial"/>
                <w:b/>
                <w:sz w:val="24"/>
                <w:szCs w:val="24"/>
              </w:rPr>
            </w:pPr>
            <w:r>
              <w:rPr>
                <w:rFonts w:ascii="Arial" w:hAnsi="Arial" w:cs="Arial"/>
                <w:b/>
                <w:sz w:val="24"/>
                <w:szCs w:val="24"/>
              </w:rPr>
              <w:t>Educació</w:t>
            </w:r>
            <w:r w:rsidR="0021392B">
              <w:rPr>
                <w:rFonts w:ascii="Arial" w:hAnsi="Arial" w:cs="Arial"/>
                <w:b/>
                <w:sz w:val="24"/>
                <w:szCs w:val="24"/>
              </w:rPr>
              <w:t>: resultats segons nivell</w:t>
            </w:r>
            <w:smartTag w:uri="urn:schemas-microsoft-com:office:smarttags" w:element="PersonName">
              <w:r w:rsidR="0021392B">
                <w:rPr>
                  <w:rFonts w:ascii="Arial" w:hAnsi="Arial" w:cs="Arial"/>
                  <w:b/>
                  <w:sz w:val="24"/>
                  <w:szCs w:val="24"/>
                </w:rPr>
                <w:t>s e</w:t>
              </w:r>
            </w:smartTag>
            <w:r w:rsidR="0021392B">
              <w:rPr>
                <w:rFonts w:ascii="Arial" w:hAnsi="Arial" w:cs="Arial"/>
                <w:b/>
                <w:sz w:val="24"/>
                <w:szCs w:val="24"/>
              </w:rPr>
              <w:t xml:space="preserve">conòmics </w:t>
            </w:r>
          </w:p>
        </w:tc>
        <w:tc>
          <w:tcPr>
            <w:tcW w:w="850" w:type="dxa"/>
            <w:vAlign w:val="center"/>
          </w:tcPr>
          <w:p w:rsidR="00E22D21" w:rsidRPr="00D12917" w:rsidRDefault="00D12917" w:rsidP="00C01E3B">
            <w:pPr>
              <w:spacing w:after="0"/>
              <w:jc w:val="center"/>
              <w:rPr>
                <w:rFonts w:ascii="Arial" w:hAnsi="Arial" w:cs="Arial"/>
                <w:b/>
                <w:sz w:val="24"/>
                <w:szCs w:val="24"/>
              </w:rPr>
            </w:pPr>
            <w:r w:rsidRPr="00D12917">
              <w:rPr>
                <w:rFonts w:ascii="Arial" w:hAnsi="Arial" w:cs="Arial"/>
                <w:b/>
                <w:sz w:val="24"/>
                <w:szCs w:val="24"/>
              </w:rPr>
              <w:t>3</w:t>
            </w:r>
            <w:r w:rsidR="00C01E3B">
              <w:rPr>
                <w:rFonts w:ascii="Arial" w:hAnsi="Arial" w:cs="Arial"/>
                <w:b/>
                <w:sz w:val="24"/>
                <w:szCs w:val="24"/>
              </w:rPr>
              <w:t>4</w:t>
            </w:r>
          </w:p>
        </w:tc>
      </w:tr>
      <w:tr w:rsidR="00516D6F" w:rsidRPr="003613A0">
        <w:trPr>
          <w:trHeight w:val="559"/>
          <w:jc w:val="center"/>
        </w:trPr>
        <w:tc>
          <w:tcPr>
            <w:tcW w:w="420" w:type="dxa"/>
            <w:vAlign w:val="center"/>
          </w:tcPr>
          <w:p w:rsidR="00516D6F" w:rsidRPr="003613A0" w:rsidRDefault="000A0A64" w:rsidP="000A0A64">
            <w:pPr>
              <w:spacing w:after="0"/>
              <w:rPr>
                <w:rFonts w:ascii="Arial" w:hAnsi="Arial" w:cs="Arial"/>
                <w:b/>
                <w:sz w:val="24"/>
                <w:szCs w:val="24"/>
              </w:rPr>
            </w:pPr>
            <w:r>
              <w:rPr>
                <w:rFonts w:ascii="Arial" w:hAnsi="Arial" w:cs="Arial"/>
                <w:b/>
                <w:sz w:val="24"/>
                <w:szCs w:val="24"/>
              </w:rPr>
              <w:t>6</w:t>
            </w:r>
            <w:r w:rsidR="00516D6F">
              <w:rPr>
                <w:rFonts w:ascii="Arial" w:hAnsi="Arial" w:cs="Arial"/>
                <w:b/>
                <w:sz w:val="24"/>
                <w:szCs w:val="24"/>
              </w:rPr>
              <w:t>.</w:t>
            </w:r>
          </w:p>
        </w:tc>
        <w:tc>
          <w:tcPr>
            <w:tcW w:w="6209" w:type="dxa"/>
            <w:gridSpan w:val="2"/>
            <w:vAlign w:val="center"/>
          </w:tcPr>
          <w:p w:rsidR="00516D6F" w:rsidRPr="00E12744" w:rsidRDefault="0090495A" w:rsidP="0014565D">
            <w:pPr>
              <w:spacing w:after="0"/>
              <w:rPr>
                <w:rFonts w:ascii="Arial" w:hAnsi="Arial" w:cs="Arial"/>
                <w:b/>
                <w:sz w:val="24"/>
                <w:szCs w:val="24"/>
              </w:rPr>
            </w:pPr>
            <w:r>
              <w:rPr>
                <w:rFonts w:ascii="Arial" w:hAnsi="Arial" w:cs="Arial"/>
                <w:b/>
                <w:sz w:val="24"/>
                <w:szCs w:val="24"/>
              </w:rPr>
              <w:t>Distribució de la renda</w:t>
            </w:r>
            <w:r w:rsidR="00AF134C">
              <w:rPr>
                <w:rFonts w:ascii="Arial" w:hAnsi="Arial" w:cs="Arial"/>
                <w:b/>
                <w:sz w:val="24"/>
                <w:szCs w:val="24"/>
              </w:rPr>
              <w:t>. Pobresa</w:t>
            </w:r>
          </w:p>
        </w:tc>
        <w:tc>
          <w:tcPr>
            <w:tcW w:w="850" w:type="dxa"/>
            <w:vAlign w:val="center"/>
          </w:tcPr>
          <w:p w:rsidR="00516D6F" w:rsidRPr="00522453" w:rsidRDefault="00C47918" w:rsidP="00516D6F">
            <w:pPr>
              <w:spacing w:after="0"/>
              <w:jc w:val="center"/>
              <w:rPr>
                <w:rFonts w:ascii="Arial" w:hAnsi="Arial" w:cs="Arial"/>
                <w:b/>
                <w:sz w:val="24"/>
                <w:szCs w:val="24"/>
              </w:rPr>
            </w:pPr>
            <w:r w:rsidRPr="00522453">
              <w:rPr>
                <w:rFonts w:ascii="Arial" w:hAnsi="Arial" w:cs="Arial"/>
                <w:b/>
                <w:sz w:val="24"/>
                <w:szCs w:val="24"/>
              </w:rPr>
              <w:t>37</w:t>
            </w:r>
          </w:p>
        </w:tc>
      </w:tr>
      <w:tr w:rsidR="00001F63" w:rsidRPr="00072897" w:rsidTr="007A36A5">
        <w:trPr>
          <w:trHeight w:val="462"/>
          <w:jc w:val="center"/>
        </w:trPr>
        <w:tc>
          <w:tcPr>
            <w:tcW w:w="684" w:type="dxa"/>
            <w:gridSpan w:val="2"/>
            <w:vAlign w:val="center"/>
          </w:tcPr>
          <w:p w:rsidR="00001F63" w:rsidRPr="00072897" w:rsidRDefault="000A0A64" w:rsidP="007A36A5">
            <w:pPr>
              <w:spacing w:after="0"/>
              <w:jc w:val="right"/>
              <w:rPr>
                <w:rFonts w:ascii="Arial" w:hAnsi="Arial" w:cs="Arial"/>
                <w:b/>
              </w:rPr>
            </w:pPr>
            <w:r>
              <w:rPr>
                <w:rFonts w:ascii="Arial" w:hAnsi="Arial" w:cs="Arial"/>
                <w:b/>
              </w:rPr>
              <w:t>6</w:t>
            </w:r>
            <w:r w:rsidR="00001F63" w:rsidRPr="00072897">
              <w:rPr>
                <w:rFonts w:ascii="Arial" w:hAnsi="Arial" w:cs="Arial"/>
                <w:b/>
              </w:rPr>
              <w:t>.1.</w:t>
            </w:r>
          </w:p>
        </w:tc>
        <w:tc>
          <w:tcPr>
            <w:tcW w:w="5945" w:type="dxa"/>
            <w:vAlign w:val="center"/>
          </w:tcPr>
          <w:p w:rsidR="00001F63" w:rsidRPr="00072897" w:rsidRDefault="00001F63" w:rsidP="00D67A0F">
            <w:pPr>
              <w:spacing w:after="0"/>
              <w:jc w:val="both"/>
              <w:rPr>
                <w:rFonts w:ascii="Arial" w:hAnsi="Arial" w:cs="Arial"/>
                <w:b/>
              </w:rPr>
            </w:pPr>
            <w:r w:rsidRPr="00072897">
              <w:rPr>
                <w:rFonts w:ascii="Arial" w:hAnsi="Arial" w:cs="Arial"/>
                <w:b/>
              </w:rPr>
              <w:t>Evolució de la renda de les llars</w:t>
            </w:r>
          </w:p>
        </w:tc>
        <w:tc>
          <w:tcPr>
            <w:tcW w:w="850" w:type="dxa"/>
            <w:vAlign w:val="center"/>
          </w:tcPr>
          <w:p w:rsidR="00001F63" w:rsidRPr="00072897" w:rsidRDefault="00C47918" w:rsidP="00A43154">
            <w:pPr>
              <w:spacing w:after="0"/>
              <w:jc w:val="center"/>
              <w:rPr>
                <w:rFonts w:ascii="Arial" w:hAnsi="Arial" w:cs="Arial"/>
                <w:b/>
              </w:rPr>
            </w:pPr>
            <w:r>
              <w:rPr>
                <w:rFonts w:ascii="Arial" w:hAnsi="Arial" w:cs="Arial"/>
                <w:b/>
              </w:rPr>
              <w:t>37</w:t>
            </w:r>
          </w:p>
        </w:tc>
      </w:tr>
      <w:tr w:rsidR="00001F63" w:rsidRPr="00072897" w:rsidTr="007A36A5">
        <w:trPr>
          <w:trHeight w:val="470"/>
          <w:jc w:val="center"/>
        </w:trPr>
        <w:tc>
          <w:tcPr>
            <w:tcW w:w="684" w:type="dxa"/>
            <w:gridSpan w:val="2"/>
            <w:vAlign w:val="center"/>
          </w:tcPr>
          <w:p w:rsidR="00001F63" w:rsidRPr="00072897" w:rsidRDefault="000A0A64" w:rsidP="007A36A5">
            <w:pPr>
              <w:spacing w:after="0"/>
              <w:jc w:val="right"/>
              <w:rPr>
                <w:rFonts w:ascii="Arial" w:hAnsi="Arial" w:cs="Arial"/>
                <w:b/>
              </w:rPr>
            </w:pPr>
            <w:r>
              <w:rPr>
                <w:rFonts w:ascii="Arial" w:hAnsi="Arial" w:cs="Arial"/>
                <w:b/>
              </w:rPr>
              <w:t>6</w:t>
            </w:r>
            <w:r w:rsidR="00001F63" w:rsidRPr="00072897">
              <w:rPr>
                <w:rFonts w:ascii="Arial" w:hAnsi="Arial" w:cs="Arial"/>
                <w:b/>
              </w:rPr>
              <w:t>.2.</w:t>
            </w:r>
          </w:p>
        </w:tc>
        <w:tc>
          <w:tcPr>
            <w:tcW w:w="5945" w:type="dxa"/>
            <w:vAlign w:val="center"/>
          </w:tcPr>
          <w:p w:rsidR="00001F63" w:rsidRPr="00072897" w:rsidRDefault="00001F63" w:rsidP="00D67A0F">
            <w:pPr>
              <w:spacing w:after="0"/>
              <w:jc w:val="both"/>
              <w:rPr>
                <w:rFonts w:ascii="Arial" w:hAnsi="Arial" w:cs="Arial"/>
                <w:b/>
              </w:rPr>
            </w:pPr>
            <w:r w:rsidRPr="00072897">
              <w:rPr>
                <w:rFonts w:ascii="Arial" w:hAnsi="Arial" w:cs="Arial"/>
                <w:b/>
              </w:rPr>
              <w:t>Desigualtats de renda</w:t>
            </w:r>
          </w:p>
        </w:tc>
        <w:tc>
          <w:tcPr>
            <w:tcW w:w="850" w:type="dxa"/>
            <w:vAlign w:val="center"/>
          </w:tcPr>
          <w:p w:rsidR="00001F63" w:rsidRPr="00072897" w:rsidRDefault="00EE1D8A" w:rsidP="00A43154">
            <w:pPr>
              <w:spacing w:after="0"/>
              <w:jc w:val="center"/>
              <w:rPr>
                <w:rFonts w:ascii="Arial" w:hAnsi="Arial" w:cs="Arial"/>
                <w:b/>
              </w:rPr>
            </w:pPr>
            <w:r>
              <w:rPr>
                <w:rFonts w:ascii="Arial" w:hAnsi="Arial" w:cs="Arial"/>
                <w:b/>
              </w:rPr>
              <w:t>40</w:t>
            </w:r>
          </w:p>
        </w:tc>
      </w:tr>
      <w:tr w:rsidR="00B763C2" w:rsidRPr="00072897" w:rsidTr="007A36A5">
        <w:trPr>
          <w:trHeight w:val="464"/>
          <w:jc w:val="center"/>
        </w:trPr>
        <w:tc>
          <w:tcPr>
            <w:tcW w:w="684" w:type="dxa"/>
            <w:gridSpan w:val="2"/>
            <w:vAlign w:val="center"/>
          </w:tcPr>
          <w:p w:rsidR="00B763C2" w:rsidRDefault="00B763C2" w:rsidP="007A36A5">
            <w:pPr>
              <w:spacing w:after="0"/>
              <w:jc w:val="right"/>
              <w:rPr>
                <w:rFonts w:ascii="Arial" w:hAnsi="Arial" w:cs="Arial"/>
                <w:b/>
              </w:rPr>
            </w:pPr>
            <w:r>
              <w:rPr>
                <w:rFonts w:ascii="Arial" w:hAnsi="Arial" w:cs="Arial"/>
                <w:b/>
              </w:rPr>
              <w:t>6</w:t>
            </w:r>
            <w:r w:rsidRPr="00072897">
              <w:rPr>
                <w:rFonts w:ascii="Arial" w:hAnsi="Arial" w:cs="Arial"/>
                <w:b/>
              </w:rPr>
              <w:t>.3.</w:t>
            </w:r>
          </w:p>
        </w:tc>
        <w:tc>
          <w:tcPr>
            <w:tcW w:w="5945" w:type="dxa"/>
            <w:vAlign w:val="center"/>
          </w:tcPr>
          <w:p w:rsidR="00B763C2" w:rsidRPr="00072897" w:rsidRDefault="00B763C2" w:rsidP="00D67A0F">
            <w:pPr>
              <w:spacing w:after="0"/>
              <w:jc w:val="both"/>
              <w:rPr>
                <w:rFonts w:ascii="Arial" w:hAnsi="Arial" w:cs="Arial"/>
                <w:b/>
              </w:rPr>
            </w:pPr>
            <w:r w:rsidRPr="00072897">
              <w:rPr>
                <w:rFonts w:ascii="Arial" w:hAnsi="Arial" w:cs="Arial"/>
                <w:b/>
              </w:rPr>
              <w:t>Evolució de les rendes salarials</w:t>
            </w:r>
          </w:p>
        </w:tc>
        <w:tc>
          <w:tcPr>
            <w:tcW w:w="850" w:type="dxa"/>
            <w:vAlign w:val="center"/>
          </w:tcPr>
          <w:p w:rsidR="00B763C2" w:rsidRPr="00072897" w:rsidRDefault="00DE23CA" w:rsidP="00A43154">
            <w:pPr>
              <w:spacing w:after="0"/>
              <w:jc w:val="center"/>
              <w:rPr>
                <w:rFonts w:ascii="Arial" w:hAnsi="Arial" w:cs="Arial"/>
                <w:b/>
              </w:rPr>
            </w:pPr>
            <w:r>
              <w:rPr>
                <w:rFonts w:ascii="Arial" w:hAnsi="Arial" w:cs="Arial"/>
                <w:b/>
              </w:rPr>
              <w:t>53</w:t>
            </w:r>
          </w:p>
        </w:tc>
      </w:tr>
      <w:tr w:rsidR="00B763C2" w:rsidRPr="00072897" w:rsidTr="007A36A5">
        <w:trPr>
          <w:trHeight w:val="458"/>
          <w:jc w:val="center"/>
        </w:trPr>
        <w:tc>
          <w:tcPr>
            <w:tcW w:w="684" w:type="dxa"/>
            <w:gridSpan w:val="2"/>
            <w:vAlign w:val="center"/>
          </w:tcPr>
          <w:p w:rsidR="00B763C2" w:rsidRDefault="00B763C2" w:rsidP="007A36A5">
            <w:pPr>
              <w:spacing w:after="0"/>
              <w:jc w:val="right"/>
              <w:rPr>
                <w:rFonts w:ascii="Arial" w:hAnsi="Arial" w:cs="Arial"/>
                <w:b/>
              </w:rPr>
            </w:pPr>
            <w:r>
              <w:rPr>
                <w:rFonts w:ascii="Arial" w:hAnsi="Arial" w:cs="Arial"/>
                <w:b/>
              </w:rPr>
              <w:t>6.4.</w:t>
            </w:r>
          </w:p>
        </w:tc>
        <w:tc>
          <w:tcPr>
            <w:tcW w:w="5945" w:type="dxa"/>
            <w:vAlign w:val="center"/>
          </w:tcPr>
          <w:p w:rsidR="00B763C2" w:rsidRPr="00072897" w:rsidRDefault="00B763C2" w:rsidP="007911AC">
            <w:pPr>
              <w:spacing w:after="0"/>
              <w:rPr>
                <w:rFonts w:ascii="Arial" w:hAnsi="Arial" w:cs="Arial"/>
                <w:b/>
              </w:rPr>
            </w:pPr>
            <w:r w:rsidRPr="00072897">
              <w:rPr>
                <w:rFonts w:ascii="Arial" w:hAnsi="Arial" w:cs="Arial"/>
                <w:b/>
              </w:rPr>
              <w:t>Desigualtat</w:t>
            </w:r>
            <w:smartTag w:uri="urn:schemas-microsoft-com:office:smarttags" w:element="PersonName">
              <w:r w:rsidRPr="00072897">
                <w:rPr>
                  <w:rFonts w:ascii="Arial" w:hAnsi="Arial" w:cs="Arial"/>
                  <w:b/>
                </w:rPr>
                <w:t>s e</w:t>
              </w:r>
            </w:smartTag>
            <w:r w:rsidRPr="00072897">
              <w:rPr>
                <w:rFonts w:ascii="Arial" w:hAnsi="Arial" w:cs="Arial"/>
                <w:b/>
              </w:rPr>
              <w:t>n rendes salarials</w:t>
            </w:r>
          </w:p>
        </w:tc>
        <w:tc>
          <w:tcPr>
            <w:tcW w:w="850" w:type="dxa"/>
            <w:vAlign w:val="center"/>
          </w:tcPr>
          <w:p w:rsidR="00B763C2" w:rsidRPr="00072897" w:rsidRDefault="00DE23CA" w:rsidP="007911AC">
            <w:pPr>
              <w:spacing w:after="0"/>
              <w:jc w:val="center"/>
              <w:rPr>
                <w:rFonts w:ascii="Arial" w:hAnsi="Arial" w:cs="Arial"/>
                <w:b/>
              </w:rPr>
            </w:pPr>
            <w:r>
              <w:rPr>
                <w:rFonts w:ascii="Arial" w:hAnsi="Arial" w:cs="Arial"/>
                <w:b/>
              </w:rPr>
              <w:t>57</w:t>
            </w:r>
          </w:p>
        </w:tc>
      </w:tr>
      <w:tr w:rsidR="00001F63" w:rsidRPr="00072897" w:rsidTr="007A36A5">
        <w:trPr>
          <w:trHeight w:val="464"/>
          <w:jc w:val="center"/>
        </w:trPr>
        <w:tc>
          <w:tcPr>
            <w:tcW w:w="684" w:type="dxa"/>
            <w:gridSpan w:val="2"/>
            <w:vAlign w:val="center"/>
          </w:tcPr>
          <w:p w:rsidR="00001F63" w:rsidRPr="00072897" w:rsidRDefault="00B763C2" w:rsidP="007A36A5">
            <w:pPr>
              <w:spacing w:after="0"/>
              <w:jc w:val="right"/>
              <w:rPr>
                <w:rFonts w:ascii="Arial" w:hAnsi="Arial" w:cs="Arial"/>
                <w:b/>
              </w:rPr>
            </w:pPr>
            <w:r>
              <w:rPr>
                <w:rFonts w:ascii="Arial" w:hAnsi="Arial" w:cs="Arial"/>
                <w:b/>
              </w:rPr>
              <w:t>6.5.</w:t>
            </w:r>
          </w:p>
        </w:tc>
        <w:tc>
          <w:tcPr>
            <w:tcW w:w="5945" w:type="dxa"/>
            <w:vAlign w:val="center"/>
          </w:tcPr>
          <w:p w:rsidR="00001F63" w:rsidRPr="00072897" w:rsidRDefault="00B763C2" w:rsidP="00D67A0F">
            <w:pPr>
              <w:spacing w:after="0"/>
              <w:jc w:val="both"/>
              <w:rPr>
                <w:rFonts w:ascii="Arial" w:hAnsi="Arial" w:cs="Arial"/>
                <w:b/>
              </w:rPr>
            </w:pPr>
            <w:r w:rsidRPr="006A3DB1">
              <w:rPr>
                <w:rFonts w:ascii="Arial" w:hAnsi="Arial" w:cs="Arial"/>
                <w:b/>
              </w:rPr>
              <w:t>Salarització i bretxa salarial entre homes i dones</w:t>
            </w:r>
          </w:p>
        </w:tc>
        <w:tc>
          <w:tcPr>
            <w:tcW w:w="850" w:type="dxa"/>
            <w:vAlign w:val="center"/>
          </w:tcPr>
          <w:p w:rsidR="00001F63" w:rsidRPr="00072897" w:rsidRDefault="00B30B46" w:rsidP="007911AC">
            <w:pPr>
              <w:spacing w:after="0"/>
              <w:jc w:val="center"/>
              <w:rPr>
                <w:rFonts w:ascii="Arial" w:hAnsi="Arial" w:cs="Arial"/>
                <w:b/>
              </w:rPr>
            </w:pPr>
            <w:r>
              <w:rPr>
                <w:rFonts w:ascii="Arial" w:hAnsi="Arial" w:cs="Arial"/>
                <w:b/>
              </w:rPr>
              <w:t>58</w:t>
            </w:r>
          </w:p>
        </w:tc>
      </w:tr>
      <w:tr w:rsidR="007911AC" w:rsidRPr="00072897" w:rsidTr="007A36A5">
        <w:trPr>
          <w:trHeight w:val="464"/>
          <w:jc w:val="center"/>
        </w:trPr>
        <w:tc>
          <w:tcPr>
            <w:tcW w:w="684" w:type="dxa"/>
            <w:gridSpan w:val="2"/>
            <w:vAlign w:val="center"/>
          </w:tcPr>
          <w:p w:rsidR="007911AC" w:rsidRPr="00072897" w:rsidRDefault="007911AC" w:rsidP="007A36A5">
            <w:pPr>
              <w:spacing w:after="0"/>
              <w:jc w:val="right"/>
              <w:rPr>
                <w:rFonts w:ascii="Arial" w:hAnsi="Arial" w:cs="Arial"/>
                <w:b/>
              </w:rPr>
            </w:pPr>
            <w:r>
              <w:rPr>
                <w:rFonts w:ascii="Arial" w:hAnsi="Arial" w:cs="Arial"/>
                <w:b/>
              </w:rPr>
              <w:t>6.6.</w:t>
            </w:r>
          </w:p>
        </w:tc>
        <w:tc>
          <w:tcPr>
            <w:tcW w:w="5945" w:type="dxa"/>
            <w:vAlign w:val="center"/>
          </w:tcPr>
          <w:p w:rsidR="007911AC" w:rsidRPr="007911AC" w:rsidRDefault="007911AC" w:rsidP="00DB47DA">
            <w:pPr>
              <w:spacing w:after="0"/>
              <w:jc w:val="both"/>
              <w:rPr>
                <w:rFonts w:ascii="Arial" w:hAnsi="Arial" w:cs="Arial"/>
                <w:b/>
              </w:rPr>
            </w:pPr>
            <w:r w:rsidRPr="007911AC">
              <w:rPr>
                <w:rFonts w:ascii="Arial" w:hAnsi="Arial" w:cs="Arial"/>
                <w:b/>
              </w:rPr>
              <w:t>Risc de pobresa en el treball</w:t>
            </w:r>
          </w:p>
        </w:tc>
        <w:tc>
          <w:tcPr>
            <w:tcW w:w="850" w:type="dxa"/>
            <w:vAlign w:val="center"/>
          </w:tcPr>
          <w:p w:rsidR="007911AC" w:rsidRPr="00072897" w:rsidRDefault="00C1041E" w:rsidP="007911AC">
            <w:pPr>
              <w:spacing w:after="0"/>
              <w:jc w:val="center"/>
              <w:rPr>
                <w:rFonts w:ascii="Arial" w:hAnsi="Arial" w:cs="Arial"/>
                <w:b/>
              </w:rPr>
            </w:pPr>
            <w:r>
              <w:rPr>
                <w:rFonts w:ascii="Arial" w:hAnsi="Arial" w:cs="Arial"/>
                <w:b/>
              </w:rPr>
              <w:t>60</w:t>
            </w:r>
          </w:p>
        </w:tc>
      </w:tr>
      <w:tr w:rsidR="00B763C2" w:rsidRPr="00072897">
        <w:trPr>
          <w:trHeight w:val="464"/>
          <w:jc w:val="center"/>
        </w:trPr>
        <w:tc>
          <w:tcPr>
            <w:tcW w:w="420" w:type="dxa"/>
            <w:vAlign w:val="center"/>
          </w:tcPr>
          <w:p w:rsidR="00B763C2" w:rsidRDefault="00B763C2" w:rsidP="00D67A0F">
            <w:pPr>
              <w:spacing w:after="0"/>
              <w:rPr>
                <w:rFonts w:ascii="Arial" w:hAnsi="Arial" w:cs="Arial"/>
                <w:b/>
              </w:rPr>
            </w:pPr>
            <w:r>
              <w:rPr>
                <w:rFonts w:ascii="Arial" w:hAnsi="Arial" w:cs="Arial"/>
                <w:b/>
              </w:rPr>
              <w:t>7.</w:t>
            </w:r>
          </w:p>
        </w:tc>
        <w:tc>
          <w:tcPr>
            <w:tcW w:w="6209" w:type="dxa"/>
            <w:gridSpan w:val="2"/>
            <w:vAlign w:val="center"/>
          </w:tcPr>
          <w:p w:rsidR="00B763C2" w:rsidRPr="006A3DB1" w:rsidRDefault="00B763C2" w:rsidP="00B65681">
            <w:pPr>
              <w:spacing w:after="0"/>
              <w:jc w:val="both"/>
              <w:rPr>
                <w:rFonts w:ascii="Arial" w:hAnsi="Arial" w:cs="Arial"/>
                <w:b/>
              </w:rPr>
            </w:pPr>
            <w:r>
              <w:rPr>
                <w:rFonts w:ascii="Arial" w:hAnsi="Arial" w:cs="Arial"/>
                <w:b/>
                <w:sz w:val="24"/>
                <w:szCs w:val="24"/>
              </w:rPr>
              <w:t>Resum</w:t>
            </w:r>
          </w:p>
        </w:tc>
        <w:tc>
          <w:tcPr>
            <w:tcW w:w="850" w:type="dxa"/>
            <w:vAlign w:val="center"/>
          </w:tcPr>
          <w:p w:rsidR="00B763C2" w:rsidRPr="00B65681" w:rsidRDefault="00C1041E" w:rsidP="00374B21">
            <w:pPr>
              <w:spacing w:after="0"/>
              <w:jc w:val="center"/>
              <w:rPr>
                <w:rFonts w:ascii="Arial" w:hAnsi="Arial" w:cs="Arial"/>
                <w:b/>
                <w:sz w:val="24"/>
                <w:szCs w:val="24"/>
              </w:rPr>
            </w:pPr>
            <w:r>
              <w:rPr>
                <w:rFonts w:ascii="Arial" w:hAnsi="Arial" w:cs="Arial"/>
                <w:b/>
                <w:sz w:val="24"/>
                <w:szCs w:val="24"/>
              </w:rPr>
              <w:t>61</w:t>
            </w:r>
          </w:p>
        </w:tc>
      </w:tr>
      <w:tr w:rsidR="00B65681" w:rsidRPr="00072897" w:rsidTr="000C75A7">
        <w:trPr>
          <w:trHeight w:val="573"/>
          <w:jc w:val="center"/>
        </w:trPr>
        <w:tc>
          <w:tcPr>
            <w:tcW w:w="420" w:type="dxa"/>
            <w:vAlign w:val="center"/>
          </w:tcPr>
          <w:p w:rsidR="00B65681" w:rsidRDefault="00B65681" w:rsidP="00DB47DA">
            <w:pPr>
              <w:spacing w:after="0"/>
              <w:rPr>
                <w:rFonts w:ascii="Arial" w:hAnsi="Arial" w:cs="Arial"/>
                <w:b/>
              </w:rPr>
            </w:pPr>
            <w:r>
              <w:rPr>
                <w:rFonts w:ascii="Arial" w:hAnsi="Arial" w:cs="Arial"/>
                <w:b/>
              </w:rPr>
              <w:t>8.</w:t>
            </w:r>
          </w:p>
        </w:tc>
        <w:tc>
          <w:tcPr>
            <w:tcW w:w="6209" w:type="dxa"/>
            <w:gridSpan w:val="2"/>
            <w:vAlign w:val="center"/>
          </w:tcPr>
          <w:p w:rsidR="00B65681" w:rsidRPr="006A3DB1" w:rsidRDefault="00B65681" w:rsidP="00DB47DA">
            <w:pPr>
              <w:spacing w:after="0"/>
              <w:jc w:val="both"/>
              <w:rPr>
                <w:rFonts w:ascii="Arial" w:hAnsi="Arial" w:cs="Arial"/>
                <w:b/>
              </w:rPr>
            </w:pPr>
            <w:r>
              <w:rPr>
                <w:rFonts w:ascii="Arial" w:hAnsi="Arial" w:cs="Arial"/>
                <w:b/>
                <w:sz w:val="24"/>
                <w:szCs w:val="24"/>
              </w:rPr>
              <w:t>Conclusions</w:t>
            </w:r>
          </w:p>
        </w:tc>
        <w:tc>
          <w:tcPr>
            <w:tcW w:w="850" w:type="dxa"/>
            <w:vAlign w:val="center"/>
          </w:tcPr>
          <w:p w:rsidR="00B65681" w:rsidRPr="00B65681" w:rsidRDefault="000C75A7" w:rsidP="00374B21">
            <w:pPr>
              <w:spacing w:after="0"/>
              <w:jc w:val="center"/>
              <w:rPr>
                <w:rFonts w:ascii="Arial" w:hAnsi="Arial" w:cs="Arial"/>
                <w:b/>
                <w:sz w:val="24"/>
                <w:szCs w:val="24"/>
              </w:rPr>
            </w:pPr>
            <w:r>
              <w:rPr>
                <w:rFonts w:ascii="Arial" w:hAnsi="Arial" w:cs="Arial"/>
                <w:b/>
                <w:sz w:val="24"/>
                <w:szCs w:val="24"/>
              </w:rPr>
              <w:t>65</w:t>
            </w:r>
          </w:p>
        </w:tc>
      </w:tr>
      <w:tr w:rsidR="000C75A7" w:rsidRPr="00072897" w:rsidTr="000C75A7">
        <w:trPr>
          <w:trHeight w:val="464"/>
          <w:jc w:val="center"/>
        </w:trPr>
        <w:tc>
          <w:tcPr>
            <w:tcW w:w="420" w:type="dxa"/>
          </w:tcPr>
          <w:p w:rsidR="000C75A7" w:rsidRDefault="000C75A7" w:rsidP="000C75A7">
            <w:pPr>
              <w:spacing w:after="0"/>
              <w:rPr>
                <w:rFonts w:ascii="Arial" w:hAnsi="Arial" w:cs="Arial"/>
                <w:b/>
              </w:rPr>
            </w:pPr>
            <w:r>
              <w:rPr>
                <w:rFonts w:ascii="Arial" w:hAnsi="Arial" w:cs="Arial"/>
                <w:b/>
              </w:rPr>
              <w:t>9.</w:t>
            </w:r>
          </w:p>
        </w:tc>
        <w:tc>
          <w:tcPr>
            <w:tcW w:w="6209" w:type="dxa"/>
            <w:gridSpan w:val="2"/>
            <w:vAlign w:val="bottom"/>
          </w:tcPr>
          <w:p w:rsidR="000C75A7" w:rsidRDefault="000C75A7" w:rsidP="000C75A7">
            <w:pPr>
              <w:spacing w:after="0"/>
              <w:rPr>
                <w:rFonts w:ascii="Arial" w:hAnsi="Arial" w:cs="Arial"/>
                <w:b/>
                <w:sz w:val="24"/>
                <w:szCs w:val="24"/>
              </w:rPr>
            </w:pPr>
            <w:r>
              <w:rPr>
                <w:rFonts w:ascii="Arial" w:hAnsi="Arial" w:cs="Arial"/>
                <w:b/>
                <w:sz w:val="24"/>
                <w:szCs w:val="24"/>
              </w:rPr>
              <w:t>Diferències significatives en relació a l’Informe de l’any anterior</w:t>
            </w:r>
          </w:p>
        </w:tc>
        <w:tc>
          <w:tcPr>
            <w:tcW w:w="850" w:type="dxa"/>
            <w:vAlign w:val="center"/>
          </w:tcPr>
          <w:p w:rsidR="000C75A7" w:rsidRDefault="000C75A7" w:rsidP="00054263">
            <w:pPr>
              <w:spacing w:after="0"/>
              <w:jc w:val="center"/>
              <w:rPr>
                <w:rFonts w:ascii="Arial" w:hAnsi="Arial" w:cs="Arial"/>
                <w:b/>
                <w:sz w:val="24"/>
                <w:szCs w:val="24"/>
              </w:rPr>
            </w:pPr>
            <w:r>
              <w:rPr>
                <w:rFonts w:ascii="Arial" w:hAnsi="Arial" w:cs="Arial"/>
                <w:b/>
                <w:sz w:val="24"/>
                <w:szCs w:val="24"/>
              </w:rPr>
              <w:t>6</w:t>
            </w:r>
            <w:r w:rsidR="00054263">
              <w:rPr>
                <w:rFonts w:ascii="Arial" w:hAnsi="Arial" w:cs="Arial"/>
                <w:b/>
                <w:sz w:val="24"/>
                <w:szCs w:val="24"/>
              </w:rPr>
              <w:t>6</w:t>
            </w:r>
          </w:p>
        </w:tc>
      </w:tr>
    </w:tbl>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2A31F2" w:rsidRDefault="002A31F2" w:rsidP="004B5B06">
      <w:pPr>
        <w:jc w:val="both"/>
        <w:rPr>
          <w:rFonts w:ascii="Arial" w:hAnsi="Arial" w:cs="Arial"/>
        </w:rPr>
      </w:pPr>
    </w:p>
    <w:p w:rsidR="004426C5" w:rsidRPr="00FE5F7C" w:rsidRDefault="004426C5" w:rsidP="004B5B06">
      <w:pPr>
        <w:numPr>
          <w:ilvl w:val="0"/>
          <w:numId w:val="3"/>
        </w:numPr>
        <w:ind w:left="426" w:hanging="426"/>
        <w:jc w:val="both"/>
        <w:rPr>
          <w:rFonts w:ascii="Arial" w:hAnsi="Arial" w:cs="Arial"/>
        </w:rPr>
      </w:pPr>
      <w:r w:rsidRPr="00C37574">
        <w:rPr>
          <w:rFonts w:ascii="Arial" w:hAnsi="Arial" w:cs="Arial"/>
          <w:b/>
          <w:sz w:val="28"/>
          <w:szCs w:val="28"/>
        </w:rPr>
        <w:lastRenderedPageBreak/>
        <w:t>Introducció</w:t>
      </w:r>
    </w:p>
    <w:p w:rsidR="004B5B06" w:rsidRDefault="004B5B06" w:rsidP="004B5B06">
      <w:pPr>
        <w:jc w:val="both"/>
        <w:rPr>
          <w:rFonts w:ascii="Arial" w:hAnsi="Arial" w:cs="Arial"/>
        </w:rPr>
      </w:pPr>
      <w:r>
        <w:rPr>
          <w:rFonts w:ascii="Arial" w:hAnsi="Arial" w:cs="Arial"/>
        </w:rPr>
        <w:t xml:space="preserve">En el present informe s’analitzen diferents indicadors </w:t>
      </w:r>
      <w:r w:rsidR="000C122A">
        <w:rPr>
          <w:rFonts w:ascii="Arial" w:hAnsi="Arial" w:cs="Arial"/>
        </w:rPr>
        <w:t>sobre</w:t>
      </w:r>
      <w:r>
        <w:rPr>
          <w:rFonts w:ascii="Arial" w:hAnsi="Arial" w:cs="Arial"/>
        </w:rPr>
        <w:t xml:space="preserve"> l’evolució</w:t>
      </w:r>
      <w:r w:rsidR="000C122A">
        <w:rPr>
          <w:rFonts w:ascii="Arial" w:hAnsi="Arial" w:cs="Arial"/>
        </w:rPr>
        <w:t xml:space="preserve"> de la despesa social, la pressió fiscal, les prestacions socials, el mercat de treball, i</w:t>
      </w:r>
      <w:r>
        <w:rPr>
          <w:rFonts w:ascii="Arial" w:hAnsi="Arial" w:cs="Arial"/>
        </w:rPr>
        <w:t xml:space="preserve"> la renda i la seva distribució a</w:t>
      </w:r>
      <w:r w:rsidR="00D83E2A">
        <w:rPr>
          <w:rFonts w:ascii="Arial" w:hAnsi="Arial" w:cs="Arial"/>
        </w:rPr>
        <w:t xml:space="preserve"> Catalunya </w:t>
      </w:r>
      <w:r w:rsidR="004F6875">
        <w:rPr>
          <w:rFonts w:ascii="Arial" w:hAnsi="Arial" w:cs="Arial"/>
        </w:rPr>
        <w:t xml:space="preserve">al llarg </w:t>
      </w:r>
      <w:r w:rsidR="004113E1">
        <w:rPr>
          <w:rFonts w:ascii="Arial" w:hAnsi="Arial" w:cs="Arial"/>
        </w:rPr>
        <w:t xml:space="preserve">de </w:t>
      </w:r>
      <w:r w:rsidR="00D83E2A">
        <w:rPr>
          <w:rFonts w:ascii="Arial" w:hAnsi="Arial" w:cs="Arial"/>
        </w:rPr>
        <w:t>la crisi</w:t>
      </w:r>
      <w:r>
        <w:rPr>
          <w:rFonts w:ascii="Arial" w:hAnsi="Arial" w:cs="Arial"/>
        </w:rPr>
        <w:t xml:space="preserve"> econòmica iniciada el 2008</w:t>
      </w:r>
      <w:r w:rsidR="004113E1">
        <w:rPr>
          <w:rFonts w:ascii="Arial" w:hAnsi="Arial" w:cs="Arial"/>
        </w:rPr>
        <w:t xml:space="preserve"> fins a les últimes dades disponibles</w:t>
      </w:r>
      <w:r>
        <w:rPr>
          <w:rFonts w:ascii="Arial" w:hAnsi="Arial" w:cs="Arial"/>
        </w:rPr>
        <w:t>. Es comparen els resultats de la pròpia evolució de les desigualtats a Catalunya, i també es compara amb l’evolució dels mateixos indicadors pel conjun</w:t>
      </w:r>
      <w:r w:rsidR="00C37574">
        <w:rPr>
          <w:rFonts w:ascii="Arial" w:hAnsi="Arial" w:cs="Arial"/>
        </w:rPr>
        <w:t>t de països que conformen la UE</w:t>
      </w:r>
      <w:r w:rsidR="00D530D3">
        <w:rPr>
          <w:rFonts w:ascii="Arial" w:hAnsi="Arial" w:cs="Arial"/>
        </w:rPr>
        <w:t>-</w:t>
      </w:r>
      <w:r>
        <w:rPr>
          <w:rFonts w:ascii="Arial" w:hAnsi="Arial" w:cs="Arial"/>
        </w:rPr>
        <w:t>2</w:t>
      </w:r>
      <w:r w:rsidR="004F6875">
        <w:rPr>
          <w:rFonts w:ascii="Arial" w:hAnsi="Arial" w:cs="Arial"/>
        </w:rPr>
        <w:t>8</w:t>
      </w:r>
      <w:r>
        <w:rPr>
          <w:rFonts w:ascii="Arial" w:hAnsi="Arial" w:cs="Arial"/>
        </w:rPr>
        <w:t xml:space="preserve">. Al llarg de l’informe es </w:t>
      </w:r>
      <w:r w:rsidR="004113E1">
        <w:rPr>
          <w:rFonts w:ascii="Arial" w:hAnsi="Arial" w:cs="Arial"/>
        </w:rPr>
        <w:t>relacionen</w:t>
      </w:r>
      <w:r>
        <w:rPr>
          <w:rFonts w:ascii="Arial" w:hAnsi="Arial" w:cs="Arial"/>
        </w:rPr>
        <w:t xml:space="preserve"> també les dades catalanes amb la mitjana de l’economia espanyola, especialme</w:t>
      </w:r>
      <w:r w:rsidR="006A715E">
        <w:rPr>
          <w:rFonts w:ascii="Arial" w:hAnsi="Arial" w:cs="Arial"/>
        </w:rPr>
        <w:t>nt per aquelles variable</w:t>
      </w:r>
      <w:smartTag w:uri="urn:schemas-microsoft-com:office:smarttags" w:element="PersonName">
        <w:r w:rsidR="006A715E">
          <w:rPr>
            <w:rFonts w:ascii="Arial" w:hAnsi="Arial" w:cs="Arial"/>
          </w:rPr>
          <w:t>s e</w:t>
        </w:r>
      </w:smartTag>
      <w:r w:rsidR="006A715E">
        <w:rPr>
          <w:rFonts w:ascii="Arial" w:hAnsi="Arial" w:cs="Arial"/>
        </w:rPr>
        <w:t>n què</w:t>
      </w:r>
      <w:r>
        <w:rPr>
          <w:rFonts w:ascii="Arial" w:hAnsi="Arial" w:cs="Arial"/>
        </w:rPr>
        <w:t xml:space="preserve"> les dades disponibles per Espanya estan més actualitzades que per Catalunya.</w:t>
      </w:r>
    </w:p>
    <w:p w:rsidR="00D357E2" w:rsidRDefault="00D357E2" w:rsidP="004B5B06">
      <w:pPr>
        <w:jc w:val="both"/>
        <w:rPr>
          <w:rFonts w:ascii="Arial" w:hAnsi="Arial" w:cs="Arial"/>
        </w:rPr>
      </w:pPr>
      <w:r>
        <w:rPr>
          <w:rFonts w:ascii="Arial" w:hAnsi="Arial" w:cs="Arial"/>
        </w:rPr>
        <w:t>La motivació de l’Informe respon a la necessitat de conèixer</w:t>
      </w:r>
      <w:r w:rsidR="00DE72A8">
        <w:rPr>
          <w:rFonts w:ascii="Arial" w:hAnsi="Arial" w:cs="Arial"/>
        </w:rPr>
        <w:t xml:space="preserve"> amb una visió de globalitat</w:t>
      </w:r>
      <w:r>
        <w:rPr>
          <w:rFonts w:ascii="Arial" w:hAnsi="Arial" w:cs="Arial"/>
        </w:rPr>
        <w:t xml:space="preserve"> l’afectació de la crisi pel que fa a les condicions de vida i treball de la població catalana i si aquesta afectació mostra diferències significatives</w:t>
      </w:r>
      <w:r w:rsidR="0088503F">
        <w:rPr>
          <w:rFonts w:ascii="Arial" w:hAnsi="Arial" w:cs="Arial"/>
        </w:rPr>
        <w:t xml:space="preserve"> amb la situació anterior i en relació amb l’entorn europeu.</w:t>
      </w:r>
      <w:r w:rsidR="004F6875">
        <w:rPr>
          <w:rFonts w:ascii="Arial" w:hAnsi="Arial" w:cs="Arial"/>
        </w:rPr>
        <w:t xml:space="preserve"> L’informe actualitza les dades analitzades el primer Informe sobre l’evolució de la Desigualtats Socials a Catalunya publicat pel CERES el març del 2014.</w:t>
      </w:r>
    </w:p>
    <w:p w:rsidR="0069213C" w:rsidRDefault="0069213C" w:rsidP="004B5B06">
      <w:pPr>
        <w:jc w:val="both"/>
        <w:rPr>
          <w:rFonts w:ascii="Arial" w:hAnsi="Arial" w:cs="Arial"/>
        </w:rPr>
      </w:pPr>
      <w:r>
        <w:rPr>
          <w:rFonts w:ascii="Arial" w:hAnsi="Arial" w:cs="Arial"/>
        </w:rPr>
        <w:t>A l’actualitzar les sèries per incorporar l’any 2013 i en alguns casos el 2014, s’han actualitzat també les dades anteriors en els casos en els qu</w:t>
      </w:r>
      <w:r w:rsidR="007A36A5">
        <w:rPr>
          <w:rFonts w:ascii="Arial" w:hAnsi="Arial" w:cs="Arial"/>
        </w:rPr>
        <w:t>als</w:t>
      </w:r>
      <w:r>
        <w:rPr>
          <w:rFonts w:ascii="Arial" w:hAnsi="Arial" w:cs="Arial"/>
        </w:rPr>
        <w:t xml:space="preserve"> la font original les ha recalculat.</w:t>
      </w:r>
    </w:p>
    <w:p w:rsidR="006C37E9" w:rsidRDefault="006C37E9" w:rsidP="004B5B06">
      <w:pPr>
        <w:jc w:val="both"/>
        <w:rPr>
          <w:rFonts w:ascii="Arial" w:hAnsi="Arial" w:cs="Arial"/>
        </w:rPr>
      </w:pPr>
    </w:p>
    <w:p w:rsidR="009E568F" w:rsidRDefault="00B07B8D" w:rsidP="009E568F">
      <w:pPr>
        <w:numPr>
          <w:ilvl w:val="0"/>
          <w:numId w:val="3"/>
        </w:numPr>
        <w:ind w:left="426" w:hanging="426"/>
        <w:jc w:val="both"/>
        <w:rPr>
          <w:rFonts w:ascii="Arial" w:hAnsi="Arial" w:cs="Arial"/>
          <w:b/>
          <w:sz w:val="28"/>
          <w:szCs w:val="28"/>
        </w:rPr>
      </w:pPr>
      <w:r w:rsidRPr="009E568F">
        <w:rPr>
          <w:rFonts w:ascii="Arial" w:hAnsi="Arial" w:cs="Arial"/>
          <w:b/>
          <w:sz w:val="28"/>
          <w:szCs w:val="28"/>
        </w:rPr>
        <w:t>Despesa en protecció social</w:t>
      </w:r>
    </w:p>
    <w:p w:rsidR="000E56BC" w:rsidRDefault="007017CB" w:rsidP="00220E83">
      <w:pPr>
        <w:jc w:val="both"/>
        <w:rPr>
          <w:rFonts w:ascii="Arial" w:hAnsi="Arial" w:cs="Arial"/>
        </w:rPr>
      </w:pPr>
      <w:r>
        <w:rPr>
          <w:rFonts w:ascii="Arial" w:hAnsi="Arial" w:cs="Arial"/>
        </w:rPr>
        <w:t xml:space="preserve">La despesa </w:t>
      </w:r>
      <w:r w:rsidR="003D33BE">
        <w:rPr>
          <w:rFonts w:ascii="Arial" w:hAnsi="Arial" w:cs="Arial"/>
        </w:rPr>
        <w:t xml:space="preserve">pública </w:t>
      </w:r>
      <w:r>
        <w:rPr>
          <w:rFonts w:ascii="Arial" w:hAnsi="Arial" w:cs="Arial"/>
        </w:rPr>
        <w:t>en protecció social</w:t>
      </w:r>
      <w:r w:rsidR="005F6592">
        <w:rPr>
          <w:rStyle w:val="Refdenotaalpie"/>
          <w:rFonts w:ascii="Arial" w:hAnsi="Arial" w:cs="Arial"/>
        </w:rPr>
        <w:footnoteReference w:id="1"/>
      </w:r>
      <w:r>
        <w:rPr>
          <w:rFonts w:ascii="Arial" w:hAnsi="Arial" w:cs="Arial"/>
        </w:rPr>
        <w:t xml:space="preserve"> és un dels principals instruments de</w:t>
      </w:r>
      <w:r w:rsidR="00586E54">
        <w:rPr>
          <w:rFonts w:ascii="Arial" w:hAnsi="Arial" w:cs="Arial"/>
        </w:rPr>
        <w:t xml:space="preserve"> què disposa l’E</w:t>
      </w:r>
      <w:r w:rsidR="003D33BE">
        <w:rPr>
          <w:rFonts w:ascii="Arial" w:hAnsi="Arial" w:cs="Arial"/>
        </w:rPr>
        <w:t xml:space="preserve">stat del </w:t>
      </w:r>
      <w:r w:rsidR="00586E54">
        <w:rPr>
          <w:rFonts w:ascii="Arial" w:hAnsi="Arial" w:cs="Arial"/>
        </w:rPr>
        <w:t>B</w:t>
      </w:r>
      <w:r w:rsidR="003D33BE">
        <w:rPr>
          <w:rFonts w:ascii="Arial" w:hAnsi="Arial" w:cs="Arial"/>
        </w:rPr>
        <w:t>enestar per</w:t>
      </w:r>
      <w:r w:rsidR="008F2BB4">
        <w:rPr>
          <w:rFonts w:ascii="Arial" w:hAnsi="Arial" w:cs="Arial"/>
        </w:rPr>
        <w:t xml:space="preserve">a </w:t>
      </w:r>
      <w:r>
        <w:rPr>
          <w:rFonts w:ascii="Arial" w:hAnsi="Arial" w:cs="Arial"/>
        </w:rPr>
        <w:t>la lluita contra les desigualtats.</w:t>
      </w:r>
    </w:p>
    <w:p w:rsidR="00542208" w:rsidRDefault="007017CB" w:rsidP="00220E83">
      <w:pPr>
        <w:jc w:val="both"/>
        <w:rPr>
          <w:rFonts w:ascii="Arial" w:hAnsi="Arial" w:cs="Arial"/>
        </w:rPr>
      </w:pPr>
      <w:r>
        <w:rPr>
          <w:rFonts w:ascii="Arial" w:hAnsi="Arial" w:cs="Arial"/>
        </w:rPr>
        <w:t xml:space="preserve">Catalunya, </w:t>
      </w:r>
      <w:r w:rsidR="003045C9">
        <w:rPr>
          <w:rFonts w:ascii="Arial" w:hAnsi="Arial" w:cs="Arial"/>
        </w:rPr>
        <w:t xml:space="preserve">tal i com succeeix per </w:t>
      </w:r>
      <w:r>
        <w:rPr>
          <w:rFonts w:ascii="Arial" w:hAnsi="Arial" w:cs="Arial"/>
        </w:rPr>
        <w:t xml:space="preserve">Espanya, </w:t>
      </w:r>
      <w:r w:rsidR="000B2E5D">
        <w:rPr>
          <w:rFonts w:ascii="Arial" w:hAnsi="Arial" w:cs="Arial"/>
        </w:rPr>
        <w:t>ha mantingut al llarg dels anys un</w:t>
      </w:r>
      <w:r w:rsidR="006C556E">
        <w:rPr>
          <w:rFonts w:ascii="Arial" w:hAnsi="Arial" w:cs="Arial"/>
        </w:rPr>
        <w:t xml:space="preserve"> esforç relatiu</w:t>
      </w:r>
      <w:r w:rsidR="00065A23">
        <w:rPr>
          <w:rFonts w:ascii="Arial" w:hAnsi="Arial" w:cs="Arial"/>
        </w:rPr>
        <w:t xml:space="preserve"> en despesa de protecció social</w:t>
      </w:r>
      <w:r w:rsidR="006C556E">
        <w:rPr>
          <w:rFonts w:ascii="Arial" w:hAnsi="Arial" w:cs="Arial"/>
        </w:rPr>
        <w:t xml:space="preserve"> significativament inferior </w:t>
      </w:r>
      <w:r w:rsidR="00065A23">
        <w:rPr>
          <w:rFonts w:ascii="Arial" w:hAnsi="Arial" w:cs="Arial"/>
        </w:rPr>
        <w:t>a</w:t>
      </w:r>
      <w:r w:rsidR="000B2E5D">
        <w:rPr>
          <w:rFonts w:ascii="Arial" w:hAnsi="Arial" w:cs="Arial"/>
        </w:rPr>
        <w:t xml:space="preserve"> la majoria de països de la UE. Entre els anys </w:t>
      </w:r>
      <w:r w:rsidR="007318FC">
        <w:rPr>
          <w:rFonts w:ascii="Arial" w:hAnsi="Arial" w:cs="Arial"/>
        </w:rPr>
        <w:t>2000</w:t>
      </w:r>
      <w:r w:rsidR="000B2E5D">
        <w:rPr>
          <w:rFonts w:ascii="Arial" w:hAnsi="Arial" w:cs="Arial"/>
        </w:rPr>
        <w:t>-</w:t>
      </w:r>
      <w:r w:rsidR="00E66135">
        <w:rPr>
          <w:rFonts w:ascii="Arial" w:hAnsi="Arial" w:cs="Arial"/>
        </w:rPr>
        <w:t>200</w:t>
      </w:r>
      <w:r w:rsidR="007318FC">
        <w:rPr>
          <w:rFonts w:ascii="Arial" w:hAnsi="Arial" w:cs="Arial"/>
        </w:rPr>
        <w:t>7</w:t>
      </w:r>
      <w:r w:rsidR="00E66135">
        <w:rPr>
          <w:rFonts w:ascii="Arial" w:hAnsi="Arial" w:cs="Arial"/>
        </w:rPr>
        <w:t xml:space="preserve"> Catalunya ha ma</w:t>
      </w:r>
      <w:r w:rsidR="000B2E5D">
        <w:rPr>
          <w:rFonts w:ascii="Arial" w:hAnsi="Arial" w:cs="Arial"/>
        </w:rPr>
        <w:t>n</w:t>
      </w:r>
      <w:r w:rsidR="00E66135">
        <w:rPr>
          <w:rFonts w:ascii="Arial" w:hAnsi="Arial" w:cs="Arial"/>
        </w:rPr>
        <w:t>t</w:t>
      </w:r>
      <w:r w:rsidR="000B2E5D">
        <w:rPr>
          <w:rFonts w:ascii="Arial" w:hAnsi="Arial" w:cs="Arial"/>
        </w:rPr>
        <w:t>i</w:t>
      </w:r>
      <w:r w:rsidR="00E66135">
        <w:rPr>
          <w:rFonts w:ascii="Arial" w:hAnsi="Arial" w:cs="Arial"/>
        </w:rPr>
        <w:t>n</w:t>
      </w:r>
      <w:r w:rsidR="000B2E5D">
        <w:rPr>
          <w:rFonts w:ascii="Arial" w:hAnsi="Arial" w:cs="Arial"/>
        </w:rPr>
        <w:t>gut una falca</w:t>
      </w:r>
      <w:r w:rsidR="004E5AA8">
        <w:rPr>
          <w:rFonts w:ascii="Arial" w:hAnsi="Arial" w:cs="Arial"/>
        </w:rPr>
        <w:t xml:space="preserve"> </w:t>
      </w:r>
      <w:r w:rsidR="00E66135">
        <w:rPr>
          <w:rFonts w:ascii="Arial" w:hAnsi="Arial" w:cs="Arial"/>
        </w:rPr>
        <w:t xml:space="preserve">relativament </w:t>
      </w:r>
      <w:r w:rsidR="00E66135">
        <w:rPr>
          <w:rFonts w:ascii="Arial" w:hAnsi="Arial" w:cs="Arial"/>
        </w:rPr>
        <w:lastRenderedPageBreak/>
        <w:t>constant</w:t>
      </w:r>
      <w:r w:rsidR="006C556E">
        <w:rPr>
          <w:rFonts w:ascii="Arial" w:hAnsi="Arial" w:cs="Arial"/>
        </w:rPr>
        <w:t xml:space="preserve"> de</w:t>
      </w:r>
      <w:r w:rsidR="007318FC">
        <w:rPr>
          <w:rFonts w:ascii="Arial" w:hAnsi="Arial" w:cs="Arial"/>
        </w:rPr>
        <w:t xml:space="preserve"> pràcticament 10</w:t>
      </w:r>
      <w:r w:rsidR="006C556E">
        <w:rPr>
          <w:rFonts w:ascii="Arial" w:hAnsi="Arial" w:cs="Arial"/>
        </w:rPr>
        <w:t xml:space="preserve"> punts percentuals per sota de la mitjana</w:t>
      </w:r>
      <w:r w:rsidR="00E66135">
        <w:rPr>
          <w:rFonts w:ascii="Arial" w:hAnsi="Arial" w:cs="Arial"/>
        </w:rPr>
        <w:t xml:space="preserve"> del pes de la despesa de protecció social</w:t>
      </w:r>
      <w:r w:rsidR="004E5AA8">
        <w:rPr>
          <w:rFonts w:ascii="Arial" w:hAnsi="Arial" w:cs="Arial"/>
        </w:rPr>
        <w:t xml:space="preserve"> </w:t>
      </w:r>
      <w:r w:rsidR="0034150C">
        <w:rPr>
          <w:rFonts w:ascii="Arial" w:hAnsi="Arial" w:cs="Arial"/>
        </w:rPr>
        <w:t>sobre</w:t>
      </w:r>
      <w:r w:rsidR="003D33BE">
        <w:rPr>
          <w:rFonts w:ascii="Arial" w:hAnsi="Arial" w:cs="Arial"/>
        </w:rPr>
        <w:t xml:space="preserve"> el PIB</w:t>
      </w:r>
      <w:r w:rsidR="004E5AA8">
        <w:rPr>
          <w:rFonts w:ascii="Arial" w:hAnsi="Arial" w:cs="Arial"/>
        </w:rPr>
        <w:t xml:space="preserve"> </w:t>
      </w:r>
      <w:r w:rsidR="00E66135">
        <w:rPr>
          <w:rFonts w:ascii="Arial" w:hAnsi="Arial" w:cs="Arial"/>
        </w:rPr>
        <w:t>de</w:t>
      </w:r>
      <w:r w:rsidR="006C556E">
        <w:rPr>
          <w:rFonts w:ascii="Arial" w:hAnsi="Arial" w:cs="Arial"/>
        </w:rPr>
        <w:t>ls països de</w:t>
      </w:r>
      <w:r w:rsidR="00E66135">
        <w:rPr>
          <w:rFonts w:ascii="Arial" w:hAnsi="Arial" w:cs="Arial"/>
        </w:rPr>
        <w:t xml:space="preserve"> la UE-</w:t>
      </w:r>
      <w:r w:rsidR="004B46F7">
        <w:rPr>
          <w:rFonts w:ascii="Arial" w:hAnsi="Arial" w:cs="Arial"/>
        </w:rPr>
        <w:t>2</w:t>
      </w:r>
      <w:r w:rsidR="007318FC">
        <w:rPr>
          <w:rFonts w:ascii="Arial" w:hAnsi="Arial" w:cs="Arial"/>
        </w:rPr>
        <w:t>8</w:t>
      </w:r>
      <w:r w:rsidR="006C556E">
        <w:rPr>
          <w:rFonts w:ascii="Arial" w:hAnsi="Arial" w:cs="Arial"/>
        </w:rPr>
        <w:t xml:space="preserve">, </w:t>
      </w:r>
      <w:r w:rsidR="008D22AF">
        <w:rPr>
          <w:rFonts w:ascii="Arial" w:hAnsi="Arial" w:cs="Arial"/>
        </w:rPr>
        <w:t xml:space="preserve">i </w:t>
      </w:r>
      <w:r w:rsidR="003045C9">
        <w:rPr>
          <w:rFonts w:ascii="Arial" w:hAnsi="Arial" w:cs="Arial"/>
        </w:rPr>
        <w:t xml:space="preserve">fins i tot </w:t>
      </w:r>
      <w:r w:rsidR="008D22AF">
        <w:rPr>
          <w:rFonts w:ascii="Arial" w:hAnsi="Arial" w:cs="Arial"/>
        </w:rPr>
        <w:t>per sota de la d</w:t>
      </w:r>
      <w:r w:rsidR="003045C9">
        <w:rPr>
          <w:rFonts w:ascii="Arial" w:hAnsi="Arial" w:cs="Arial"/>
        </w:rPr>
        <w:t>’Espanya.</w:t>
      </w:r>
    </w:p>
    <w:p w:rsidR="00E615EF" w:rsidRDefault="003374EF" w:rsidP="00220E83">
      <w:pPr>
        <w:jc w:val="both"/>
        <w:rPr>
          <w:rFonts w:ascii="Arial" w:hAnsi="Arial" w:cs="Arial"/>
        </w:rPr>
      </w:pPr>
      <w:r w:rsidRPr="00586E54">
        <w:rPr>
          <w:rFonts w:ascii="Arial" w:hAnsi="Arial" w:cs="Arial"/>
        </w:rPr>
        <w:t>Les dades de</w:t>
      </w:r>
      <w:r w:rsidR="00EC1CE8" w:rsidRPr="00586E54">
        <w:rPr>
          <w:rFonts w:ascii="Arial" w:hAnsi="Arial" w:cs="Arial"/>
        </w:rPr>
        <w:t>l pes de la despesa en</w:t>
      </w:r>
      <w:r w:rsidRPr="00586E54">
        <w:rPr>
          <w:rFonts w:ascii="Arial" w:hAnsi="Arial" w:cs="Arial"/>
        </w:rPr>
        <w:t xml:space="preserve"> protecció social</w:t>
      </w:r>
      <w:r w:rsidR="00EC1CE8" w:rsidRPr="00586E54">
        <w:rPr>
          <w:rFonts w:ascii="Arial" w:hAnsi="Arial" w:cs="Arial"/>
        </w:rPr>
        <w:t xml:space="preserve"> sobre el PIB</w:t>
      </w:r>
      <w:r w:rsidR="004E5AA8">
        <w:rPr>
          <w:rFonts w:ascii="Arial" w:hAnsi="Arial" w:cs="Arial"/>
        </w:rPr>
        <w:t xml:space="preserve"> </w:t>
      </w:r>
      <w:r w:rsidR="00065A23" w:rsidRPr="00586E54">
        <w:rPr>
          <w:rFonts w:ascii="Arial" w:hAnsi="Arial" w:cs="Arial"/>
        </w:rPr>
        <w:t xml:space="preserve">en els primers </w:t>
      </w:r>
      <w:r w:rsidRPr="00586E54">
        <w:rPr>
          <w:rFonts w:ascii="Arial" w:hAnsi="Arial" w:cs="Arial"/>
        </w:rPr>
        <w:t>anys de la crisi,</w:t>
      </w:r>
      <w:r w:rsidR="00586E54" w:rsidRPr="00586E54">
        <w:rPr>
          <w:rFonts w:ascii="Arial" w:hAnsi="Arial" w:cs="Arial"/>
        </w:rPr>
        <w:t xml:space="preserve"> del 200</w:t>
      </w:r>
      <w:r w:rsidR="004B46F7">
        <w:rPr>
          <w:rFonts w:ascii="Arial" w:hAnsi="Arial" w:cs="Arial"/>
        </w:rPr>
        <w:t>8</w:t>
      </w:r>
      <w:r w:rsidR="00586E54" w:rsidRPr="00586E54">
        <w:rPr>
          <w:rFonts w:ascii="Arial" w:hAnsi="Arial" w:cs="Arial"/>
        </w:rPr>
        <w:t>-</w:t>
      </w:r>
      <w:r w:rsidR="00EC1CE8" w:rsidRPr="00586E54">
        <w:rPr>
          <w:rFonts w:ascii="Arial" w:hAnsi="Arial" w:cs="Arial"/>
        </w:rPr>
        <w:t>20</w:t>
      </w:r>
      <w:r w:rsidR="00586E54" w:rsidRPr="00586E54">
        <w:rPr>
          <w:rFonts w:ascii="Arial" w:hAnsi="Arial" w:cs="Arial"/>
        </w:rPr>
        <w:t>09</w:t>
      </w:r>
      <w:r w:rsidR="008D22AF">
        <w:rPr>
          <w:rFonts w:ascii="Arial" w:hAnsi="Arial" w:cs="Arial"/>
        </w:rPr>
        <w:t>,</w:t>
      </w:r>
      <w:r w:rsidR="00586E54" w:rsidRPr="00586E54">
        <w:rPr>
          <w:rFonts w:ascii="Arial" w:hAnsi="Arial" w:cs="Arial"/>
        </w:rPr>
        <w:t xml:space="preserve"> m</w:t>
      </w:r>
      <w:r w:rsidRPr="00586E54">
        <w:rPr>
          <w:rFonts w:ascii="Arial" w:hAnsi="Arial" w:cs="Arial"/>
        </w:rPr>
        <w:t>ostren co</w:t>
      </w:r>
      <w:r w:rsidR="00D60452">
        <w:rPr>
          <w:rFonts w:ascii="Arial" w:hAnsi="Arial" w:cs="Arial"/>
        </w:rPr>
        <w:t>m</w:t>
      </w:r>
      <w:r w:rsidRPr="00586E54">
        <w:rPr>
          <w:rFonts w:ascii="Arial" w:hAnsi="Arial" w:cs="Arial"/>
        </w:rPr>
        <w:t xml:space="preserve"> </w:t>
      </w:r>
      <w:r w:rsidR="00E615EF" w:rsidRPr="00586E54">
        <w:rPr>
          <w:rFonts w:ascii="Arial" w:hAnsi="Arial" w:cs="Arial"/>
        </w:rPr>
        <w:t>la resposta dels estabilitzadors automàtics pel costat de la despesa</w:t>
      </w:r>
      <w:r w:rsidR="00E615EF" w:rsidRPr="00586E54">
        <w:rPr>
          <w:rStyle w:val="Refdenotaalpie"/>
          <w:rFonts w:ascii="Arial" w:hAnsi="Arial" w:cs="Arial"/>
        </w:rPr>
        <w:footnoteReference w:id="2"/>
      </w:r>
      <w:r w:rsidR="00E615EF" w:rsidRPr="00586E54">
        <w:rPr>
          <w:rFonts w:ascii="Arial" w:hAnsi="Arial" w:cs="Arial"/>
        </w:rPr>
        <w:t xml:space="preserve"> conjuntament amb el r</w:t>
      </w:r>
      <w:r w:rsidR="00A575C9">
        <w:rPr>
          <w:rFonts w:ascii="Arial" w:hAnsi="Arial" w:cs="Arial"/>
        </w:rPr>
        <w:t>etrocés de l’activitat econòmic</w:t>
      </w:r>
      <w:r w:rsidR="007318FC">
        <w:rPr>
          <w:rFonts w:ascii="Arial" w:hAnsi="Arial" w:cs="Arial"/>
        </w:rPr>
        <w:t>a</w:t>
      </w:r>
      <w:r w:rsidR="004E5AA8">
        <w:rPr>
          <w:rFonts w:ascii="Arial" w:hAnsi="Arial" w:cs="Arial"/>
        </w:rPr>
        <w:t xml:space="preserve"> </w:t>
      </w:r>
      <w:r w:rsidR="00E615EF">
        <w:rPr>
          <w:rFonts w:ascii="Arial" w:hAnsi="Arial" w:cs="Arial"/>
        </w:rPr>
        <w:t>es tradueix en un increment del pes de la despesa en protecció social sobre el PIB, tant a Catalunya</w:t>
      </w:r>
      <w:r w:rsidR="003045C9">
        <w:rPr>
          <w:rFonts w:ascii="Arial" w:hAnsi="Arial" w:cs="Arial"/>
        </w:rPr>
        <w:t>, a</w:t>
      </w:r>
      <w:r w:rsidR="00E615EF">
        <w:rPr>
          <w:rFonts w:ascii="Arial" w:hAnsi="Arial" w:cs="Arial"/>
        </w:rPr>
        <w:t xml:space="preserve"> Espanya</w:t>
      </w:r>
      <w:r w:rsidR="003045C9">
        <w:rPr>
          <w:rFonts w:ascii="Arial" w:hAnsi="Arial" w:cs="Arial"/>
        </w:rPr>
        <w:t>,</w:t>
      </w:r>
      <w:r w:rsidR="00E615EF">
        <w:rPr>
          <w:rFonts w:ascii="Arial" w:hAnsi="Arial" w:cs="Arial"/>
        </w:rPr>
        <w:t xml:space="preserve"> com en el conjunt de pa</w:t>
      </w:r>
      <w:r w:rsidR="004A72FF">
        <w:rPr>
          <w:rFonts w:ascii="Arial" w:hAnsi="Arial" w:cs="Arial"/>
        </w:rPr>
        <w:t>ï</w:t>
      </w:r>
      <w:r w:rsidR="00E615EF">
        <w:rPr>
          <w:rFonts w:ascii="Arial" w:hAnsi="Arial" w:cs="Arial"/>
        </w:rPr>
        <w:t>so</w:t>
      </w:r>
      <w:r w:rsidR="004A72FF">
        <w:rPr>
          <w:rFonts w:ascii="Arial" w:hAnsi="Arial" w:cs="Arial"/>
        </w:rPr>
        <w:t>s</w:t>
      </w:r>
      <w:r w:rsidR="00E615EF">
        <w:rPr>
          <w:rFonts w:ascii="Arial" w:hAnsi="Arial" w:cs="Arial"/>
        </w:rPr>
        <w:t xml:space="preserve"> de l’àmbit eur</w:t>
      </w:r>
      <w:r w:rsidR="004A72FF">
        <w:rPr>
          <w:rFonts w:ascii="Arial" w:hAnsi="Arial" w:cs="Arial"/>
        </w:rPr>
        <w:t>o</w:t>
      </w:r>
      <w:r w:rsidR="00E615EF">
        <w:rPr>
          <w:rFonts w:ascii="Arial" w:hAnsi="Arial" w:cs="Arial"/>
        </w:rPr>
        <w:t>peu.</w:t>
      </w:r>
    </w:p>
    <w:p w:rsidR="00304ADC" w:rsidRDefault="00D33A47" w:rsidP="00220E83">
      <w:pPr>
        <w:jc w:val="both"/>
        <w:rPr>
          <w:rFonts w:ascii="Arial" w:hAnsi="Arial" w:cs="Arial"/>
        </w:rPr>
      </w:pPr>
      <w:r w:rsidRPr="00661FDB">
        <w:rPr>
          <w:rFonts w:ascii="Arial" w:hAnsi="Arial" w:cs="Arial"/>
        </w:rPr>
        <w:t>A partir de l’any 2010</w:t>
      </w:r>
      <w:r w:rsidR="00304ADC">
        <w:rPr>
          <w:rFonts w:ascii="Arial" w:hAnsi="Arial" w:cs="Arial"/>
        </w:rPr>
        <w:t xml:space="preserve"> i al llarg del 2011</w:t>
      </w:r>
      <w:r w:rsidR="007318FC">
        <w:rPr>
          <w:rFonts w:ascii="Arial" w:hAnsi="Arial" w:cs="Arial"/>
        </w:rPr>
        <w:t xml:space="preserve"> i 2012</w:t>
      </w:r>
      <w:r w:rsidRPr="00661FDB">
        <w:rPr>
          <w:rFonts w:ascii="Arial" w:hAnsi="Arial" w:cs="Arial"/>
        </w:rPr>
        <w:t xml:space="preserve">, </w:t>
      </w:r>
      <w:r w:rsidR="00661FDB" w:rsidRPr="00661FDB">
        <w:rPr>
          <w:rFonts w:ascii="Arial" w:hAnsi="Arial" w:cs="Arial"/>
        </w:rPr>
        <w:t>es posa de manifest el procés de retallades</w:t>
      </w:r>
      <w:r w:rsidR="009C730A">
        <w:rPr>
          <w:rFonts w:ascii="Arial" w:hAnsi="Arial" w:cs="Arial"/>
        </w:rPr>
        <w:t xml:space="preserve"> de la despesa en protecció social </w:t>
      </w:r>
      <w:r w:rsidR="006C556E">
        <w:rPr>
          <w:rFonts w:ascii="Arial" w:hAnsi="Arial" w:cs="Arial"/>
        </w:rPr>
        <w:t>d</w:t>
      </w:r>
      <w:r w:rsidR="009C730A">
        <w:rPr>
          <w:rFonts w:ascii="Arial" w:hAnsi="Arial" w:cs="Arial"/>
        </w:rPr>
        <w:t>el govern català</w:t>
      </w:r>
      <w:r w:rsidR="00F85944">
        <w:rPr>
          <w:rFonts w:ascii="Arial" w:hAnsi="Arial" w:cs="Arial"/>
        </w:rPr>
        <w:t xml:space="preserve"> i espanyol</w:t>
      </w:r>
      <w:r w:rsidR="009C730A">
        <w:rPr>
          <w:rFonts w:ascii="Arial" w:hAnsi="Arial" w:cs="Arial"/>
        </w:rPr>
        <w:t xml:space="preserve"> malgrat la persist</w:t>
      </w:r>
      <w:r w:rsidR="00304ADC">
        <w:rPr>
          <w:rFonts w:ascii="Arial" w:hAnsi="Arial" w:cs="Arial"/>
        </w:rPr>
        <w:t>è</w:t>
      </w:r>
      <w:r w:rsidR="00D83E2A">
        <w:rPr>
          <w:rFonts w:ascii="Arial" w:hAnsi="Arial" w:cs="Arial"/>
        </w:rPr>
        <w:t>ncia de la crisi</w:t>
      </w:r>
      <w:r w:rsidR="009C730A">
        <w:rPr>
          <w:rFonts w:ascii="Arial" w:hAnsi="Arial" w:cs="Arial"/>
        </w:rPr>
        <w:t xml:space="preserve"> econòmica. Si excloem la despesa en atur i en vellesa</w:t>
      </w:r>
      <w:r w:rsidR="004E5AA8">
        <w:rPr>
          <w:rFonts w:ascii="Arial" w:hAnsi="Arial" w:cs="Arial"/>
        </w:rPr>
        <w:t xml:space="preserve"> -</w:t>
      </w:r>
      <w:r w:rsidR="009C730A">
        <w:rPr>
          <w:rFonts w:ascii="Arial" w:hAnsi="Arial" w:cs="Arial"/>
        </w:rPr>
        <w:t>la primera perquè encara</w:t>
      </w:r>
      <w:r w:rsidR="00304ADC">
        <w:rPr>
          <w:rFonts w:ascii="Arial" w:hAnsi="Arial" w:cs="Arial"/>
        </w:rPr>
        <w:t xml:space="preserve"> respon a la inèrcia dels estabilitzadors autom</w:t>
      </w:r>
      <w:r w:rsidR="00687C45">
        <w:rPr>
          <w:rFonts w:ascii="Arial" w:hAnsi="Arial" w:cs="Arial"/>
        </w:rPr>
        <w:t>à</w:t>
      </w:r>
      <w:r w:rsidR="00304ADC">
        <w:rPr>
          <w:rFonts w:ascii="Arial" w:hAnsi="Arial" w:cs="Arial"/>
        </w:rPr>
        <w:t>t</w:t>
      </w:r>
      <w:r w:rsidR="00687C45">
        <w:rPr>
          <w:rFonts w:ascii="Arial" w:hAnsi="Arial" w:cs="Arial"/>
        </w:rPr>
        <w:t>i</w:t>
      </w:r>
      <w:r w:rsidR="00304ADC">
        <w:rPr>
          <w:rFonts w:ascii="Arial" w:hAnsi="Arial" w:cs="Arial"/>
        </w:rPr>
        <w:t>cs per les molt negatives conseqüències de la crisi sobre l’ocupació, i la segona perquè té una dinàmica pròpia fruït de la incorporació en el sistema de no</w:t>
      </w:r>
      <w:r w:rsidR="00687C45">
        <w:rPr>
          <w:rFonts w:ascii="Arial" w:hAnsi="Arial" w:cs="Arial"/>
        </w:rPr>
        <w:t xml:space="preserve">us jubilats </w:t>
      </w:r>
      <w:r w:rsidR="00304ADC">
        <w:rPr>
          <w:rFonts w:ascii="Arial" w:hAnsi="Arial" w:cs="Arial"/>
        </w:rPr>
        <w:t>amb millors trajectòries de cotitzacions</w:t>
      </w:r>
      <w:r w:rsidR="004E5AA8">
        <w:rPr>
          <w:rFonts w:ascii="Arial" w:hAnsi="Arial" w:cs="Arial"/>
        </w:rPr>
        <w:t>-</w:t>
      </w:r>
      <w:r w:rsidR="00304ADC">
        <w:rPr>
          <w:rFonts w:ascii="Arial" w:hAnsi="Arial" w:cs="Arial"/>
        </w:rPr>
        <w:t>, es pot observar l</w:t>
      </w:r>
      <w:r w:rsidR="00687C45">
        <w:rPr>
          <w:rFonts w:ascii="Arial" w:hAnsi="Arial" w:cs="Arial"/>
        </w:rPr>
        <w:t>’</w:t>
      </w:r>
      <w:r w:rsidR="00304ADC">
        <w:rPr>
          <w:rFonts w:ascii="Arial" w:hAnsi="Arial" w:cs="Arial"/>
        </w:rPr>
        <w:t>impacte de les retallades en la despesa de protecció social, amb una caiguda del seu pes sobre el PIB</w:t>
      </w:r>
      <w:r w:rsidR="00D53AD0">
        <w:rPr>
          <w:rFonts w:ascii="Arial" w:hAnsi="Arial" w:cs="Arial"/>
        </w:rPr>
        <w:t>. A</w:t>
      </w:r>
      <w:r w:rsidR="007318FC">
        <w:rPr>
          <w:rFonts w:ascii="Arial" w:hAnsi="Arial" w:cs="Arial"/>
        </w:rPr>
        <w:t xml:space="preserve"> Catalunya cau del 9,5</w:t>
      </w:r>
      <w:r w:rsidR="00687C45">
        <w:rPr>
          <w:rFonts w:ascii="Arial" w:hAnsi="Arial" w:cs="Arial"/>
        </w:rPr>
        <w:t xml:space="preserve">% del PIB al </w:t>
      </w:r>
      <w:r w:rsidR="007318FC">
        <w:rPr>
          <w:rFonts w:ascii="Arial" w:hAnsi="Arial" w:cs="Arial"/>
        </w:rPr>
        <w:t>8</w:t>
      </w:r>
      <w:r w:rsidR="00687C45">
        <w:rPr>
          <w:rFonts w:ascii="Arial" w:hAnsi="Arial" w:cs="Arial"/>
        </w:rPr>
        <w:t>,</w:t>
      </w:r>
      <w:r w:rsidR="007318FC">
        <w:rPr>
          <w:rFonts w:ascii="Arial" w:hAnsi="Arial" w:cs="Arial"/>
        </w:rPr>
        <w:t>7</w:t>
      </w:r>
      <w:r w:rsidR="00687C45">
        <w:rPr>
          <w:rFonts w:ascii="Arial" w:hAnsi="Arial" w:cs="Arial"/>
        </w:rPr>
        <w:t xml:space="preserve">% </w:t>
      </w:r>
      <w:r w:rsidR="007318FC">
        <w:rPr>
          <w:rFonts w:ascii="Arial" w:hAnsi="Arial" w:cs="Arial"/>
        </w:rPr>
        <w:t>entre els anys 2009 i 2012</w:t>
      </w:r>
      <w:r w:rsidR="006C556E">
        <w:rPr>
          <w:rFonts w:ascii="Arial" w:hAnsi="Arial" w:cs="Arial"/>
        </w:rPr>
        <w:t>,</w:t>
      </w:r>
      <w:r w:rsidR="00687C45">
        <w:rPr>
          <w:rFonts w:ascii="Arial" w:hAnsi="Arial" w:cs="Arial"/>
        </w:rPr>
        <w:t xml:space="preserve"> mentre que el conjunt d’Espanya</w:t>
      </w:r>
      <w:r w:rsidR="007318FC">
        <w:rPr>
          <w:rFonts w:ascii="Arial" w:hAnsi="Arial" w:cs="Arial"/>
        </w:rPr>
        <w:t xml:space="preserve">, </w:t>
      </w:r>
      <w:r w:rsidR="00687C45">
        <w:rPr>
          <w:rFonts w:ascii="Arial" w:hAnsi="Arial" w:cs="Arial"/>
        </w:rPr>
        <w:t>cau de l’11,5% del PIB al</w:t>
      </w:r>
      <w:r w:rsidR="00064089">
        <w:rPr>
          <w:rFonts w:ascii="Arial" w:hAnsi="Arial" w:cs="Arial"/>
        </w:rPr>
        <w:t xml:space="preserve"> </w:t>
      </w:r>
      <w:r w:rsidR="00687C45">
        <w:rPr>
          <w:rFonts w:ascii="Arial" w:hAnsi="Arial" w:cs="Arial"/>
        </w:rPr>
        <w:t>1</w:t>
      </w:r>
      <w:r w:rsidR="007318FC">
        <w:rPr>
          <w:rFonts w:ascii="Arial" w:hAnsi="Arial" w:cs="Arial"/>
        </w:rPr>
        <w:t>0</w:t>
      </w:r>
      <w:r w:rsidR="00687C45">
        <w:rPr>
          <w:rFonts w:ascii="Arial" w:hAnsi="Arial" w:cs="Arial"/>
        </w:rPr>
        <w:t>,</w:t>
      </w:r>
      <w:r w:rsidR="007318FC">
        <w:rPr>
          <w:rFonts w:ascii="Arial" w:hAnsi="Arial" w:cs="Arial"/>
        </w:rPr>
        <w:t>7</w:t>
      </w:r>
      <w:r w:rsidR="00687C45">
        <w:rPr>
          <w:rFonts w:ascii="Arial" w:hAnsi="Arial" w:cs="Arial"/>
        </w:rPr>
        <w:t>% del 2009 al 201</w:t>
      </w:r>
      <w:r w:rsidR="007318FC">
        <w:rPr>
          <w:rFonts w:ascii="Arial" w:hAnsi="Arial" w:cs="Arial"/>
        </w:rPr>
        <w:t>2</w:t>
      </w:r>
      <w:r w:rsidR="0034150C">
        <w:rPr>
          <w:rFonts w:ascii="Arial" w:hAnsi="Arial" w:cs="Arial"/>
        </w:rPr>
        <w:t>, en un context on les necessitats de protecció estan incrementant</w:t>
      </w:r>
      <w:r w:rsidR="007318FC">
        <w:rPr>
          <w:rFonts w:ascii="Arial" w:hAnsi="Arial" w:cs="Arial"/>
        </w:rPr>
        <w:t>, i en un entorn europeu on el pes d</w:t>
      </w:r>
      <w:r w:rsidR="00600441">
        <w:rPr>
          <w:rFonts w:ascii="Arial" w:hAnsi="Arial" w:cs="Arial"/>
        </w:rPr>
        <w:t xml:space="preserve">’aquesta mateixa </w:t>
      </w:r>
      <w:r w:rsidR="007318FC">
        <w:rPr>
          <w:rFonts w:ascii="Arial" w:hAnsi="Arial" w:cs="Arial"/>
        </w:rPr>
        <w:t>despesa es manté estable al voltant del 15% del PIB.</w:t>
      </w:r>
    </w:p>
    <w:p w:rsidR="00804B0E" w:rsidRDefault="00964133" w:rsidP="00220E83">
      <w:pPr>
        <w:jc w:val="both"/>
        <w:rPr>
          <w:rFonts w:ascii="Arial" w:hAnsi="Arial" w:cs="Arial"/>
        </w:rPr>
      </w:pPr>
      <w:bookmarkStart w:id="1" w:name="OLE_LINK15"/>
      <w:r>
        <w:rPr>
          <w:rFonts w:ascii="Arial" w:hAnsi="Arial" w:cs="Arial"/>
        </w:rPr>
        <w:t>Conjuntament amb la despesa en protecció social, la despesa pública en educació també es configura com uns dels instruments més importants de l’Estat del Benestar per la lluita contra les desigualtats, especialment en la vessant de la igualtat d’oportunitats de la població més jove. L’esforç</w:t>
      </w:r>
      <w:r w:rsidR="00F85944">
        <w:rPr>
          <w:rFonts w:ascii="Arial" w:hAnsi="Arial" w:cs="Arial"/>
        </w:rPr>
        <w:t xml:space="preserve"> a Catalunya</w:t>
      </w:r>
      <w:r>
        <w:rPr>
          <w:rFonts w:ascii="Arial" w:hAnsi="Arial" w:cs="Arial"/>
        </w:rPr>
        <w:t xml:space="preserve"> en despesa pública </w:t>
      </w:r>
      <w:r w:rsidR="00804B0E">
        <w:rPr>
          <w:rFonts w:ascii="Arial" w:hAnsi="Arial" w:cs="Arial"/>
        </w:rPr>
        <w:t>d’</w:t>
      </w:r>
      <w:r>
        <w:rPr>
          <w:rFonts w:ascii="Arial" w:hAnsi="Arial" w:cs="Arial"/>
        </w:rPr>
        <w:t>educació en relació</w:t>
      </w:r>
      <w:r w:rsidR="00804B0E">
        <w:rPr>
          <w:rFonts w:ascii="Arial" w:hAnsi="Arial" w:cs="Arial"/>
        </w:rPr>
        <w:t xml:space="preserve"> amb el PIB</w:t>
      </w:r>
      <w:r>
        <w:rPr>
          <w:rFonts w:ascii="Arial" w:hAnsi="Arial" w:cs="Arial"/>
        </w:rPr>
        <w:t xml:space="preserve"> també</w:t>
      </w:r>
      <w:r w:rsidR="00804B0E">
        <w:rPr>
          <w:rFonts w:ascii="Arial" w:hAnsi="Arial" w:cs="Arial"/>
        </w:rPr>
        <w:t xml:space="preserve"> ha estat</w:t>
      </w:r>
      <w:r w:rsidR="002B5FC8">
        <w:rPr>
          <w:rFonts w:ascii="Arial" w:hAnsi="Arial" w:cs="Arial"/>
        </w:rPr>
        <w:t xml:space="preserve"> històricament</w:t>
      </w:r>
      <w:r w:rsidR="00804B0E">
        <w:rPr>
          <w:rFonts w:ascii="Arial" w:hAnsi="Arial" w:cs="Arial"/>
        </w:rPr>
        <w:t xml:space="preserve"> inferior als nivells mitjans dels pa</w:t>
      </w:r>
      <w:r w:rsidR="00586E54">
        <w:rPr>
          <w:rFonts w:ascii="Arial" w:hAnsi="Arial" w:cs="Arial"/>
        </w:rPr>
        <w:t>ï</w:t>
      </w:r>
      <w:r w:rsidR="00804B0E">
        <w:rPr>
          <w:rFonts w:ascii="Arial" w:hAnsi="Arial" w:cs="Arial"/>
        </w:rPr>
        <w:t>sos de la UE-2</w:t>
      </w:r>
      <w:r w:rsidR="007318FC">
        <w:rPr>
          <w:rFonts w:ascii="Arial" w:hAnsi="Arial" w:cs="Arial"/>
        </w:rPr>
        <w:t>8</w:t>
      </w:r>
      <w:r w:rsidR="006C2D13">
        <w:rPr>
          <w:rFonts w:ascii="Arial" w:hAnsi="Arial" w:cs="Arial"/>
        </w:rPr>
        <w:t>, gairebé 2 punts percentuals per sota,</w:t>
      </w:r>
      <w:r w:rsidR="00F85944">
        <w:rPr>
          <w:rFonts w:ascii="Arial" w:hAnsi="Arial" w:cs="Arial"/>
        </w:rPr>
        <w:t xml:space="preserve"> fins i tot menor que el pes pel conjunt d’Espanya</w:t>
      </w:r>
      <w:r w:rsidR="00804B0E">
        <w:rPr>
          <w:rFonts w:ascii="Arial" w:hAnsi="Arial" w:cs="Arial"/>
        </w:rPr>
        <w:t>.</w:t>
      </w:r>
      <w:r w:rsidR="00F85944">
        <w:rPr>
          <w:rFonts w:ascii="Arial" w:hAnsi="Arial" w:cs="Arial"/>
        </w:rPr>
        <w:t xml:space="preserve"> Tot i així, e</w:t>
      </w:r>
      <w:r w:rsidR="00804B0E">
        <w:rPr>
          <w:rFonts w:ascii="Arial" w:hAnsi="Arial" w:cs="Arial"/>
        </w:rPr>
        <w:t>ls anys precedents a la crisi</w:t>
      </w:r>
      <w:r w:rsidR="00586E54">
        <w:rPr>
          <w:rFonts w:ascii="Arial" w:hAnsi="Arial" w:cs="Arial"/>
        </w:rPr>
        <w:t>, 2004-2007,</w:t>
      </w:r>
      <w:r w:rsidR="00600441">
        <w:rPr>
          <w:rFonts w:ascii="Arial" w:hAnsi="Arial" w:cs="Arial"/>
        </w:rPr>
        <w:t xml:space="preserve"> </w:t>
      </w:r>
      <w:r w:rsidR="00F85944">
        <w:rPr>
          <w:rFonts w:ascii="Arial" w:hAnsi="Arial" w:cs="Arial"/>
        </w:rPr>
        <w:t>Catalunya</w:t>
      </w:r>
      <w:r w:rsidR="00600441">
        <w:rPr>
          <w:rFonts w:ascii="Arial" w:hAnsi="Arial" w:cs="Arial"/>
        </w:rPr>
        <w:t xml:space="preserve"> </w:t>
      </w:r>
      <w:r w:rsidR="00804B0E">
        <w:rPr>
          <w:rFonts w:ascii="Arial" w:hAnsi="Arial" w:cs="Arial"/>
        </w:rPr>
        <w:t>havia mostrat</w:t>
      </w:r>
      <w:r w:rsidR="00F85944">
        <w:rPr>
          <w:rFonts w:ascii="Arial" w:hAnsi="Arial" w:cs="Arial"/>
        </w:rPr>
        <w:t>, c</w:t>
      </w:r>
      <w:r w:rsidR="00804B0E">
        <w:rPr>
          <w:rFonts w:ascii="Arial" w:hAnsi="Arial" w:cs="Arial"/>
        </w:rPr>
        <w:t>om a Espanya</w:t>
      </w:r>
      <w:r w:rsidR="00F85944">
        <w:rPr>
          <w:rFonts w:ascii="Arial" w:hAnsi="Arial" w:cs="Arial"/>
        </w:rPr>
        <w:t>,</w:t>
      </w:r>
      <w:r w:rsidR="00804B0E">
        <w:rPr>
          <w:rFonts w:ascii="Arial" w:hAnsi="Arial" w:cs="Arial"/>
        </w:rPr>
        <w:t xml:space="preserve"> una modesta reducció d’aquestes diferències.</w:t>
      </w:r>
    </w:p>
    <w:p w:rsidR="00727D4B" w:rsidRDefault="00804B0E" w:rsidP="00220E83">
      <w:pPr>
        <w:jc w:val="both"/>
        <w:rPr>
          <w:rFonts w:ascii="Arial" w:hAnsi="Arial" w:cs="Arial"/>
        </w:rPr>
      </w:pPr>
      <w:r>
        <w:rPr>
          <w:rFonts w:ascii="Arial" w:hAnsi="Arial" w:cs="Arial"/>
        </w:rPr>
        <w:t>Després de l’i</w:t>
      </w:r>
      <w:r w:rsidR="006C2D13">
        <w:rPr>
          <w:rFonts w:ascii="Arial" w:hAnsi="Arial" w:cs="Arial"/>
        </w:rPr>
        <w:t>ncrement</w:t>
      </w:r>
      <w:r>
        <w:rPr>
          <w:rFonts w:ascii="Arial" w:hAnsi="Arial" w:cs="Arial"/>
        </w:rPr>
        <w:t xml:space="preserve"> inicial</w:t>
      </w:r>
      <w:r w:rsidR="006C2D13">
        <w:rPr>
          <w:rFonts w:ascii="Arial" w:hAnsi="Arial" w:cs="Arial"/>
        </w:rPr>
        <w:t>, 2007-2009,</w:t>
      </w:r>
      <w:r w:rsidR="00600441">
        <w:rPr>
          <w:rFonts w:ascii="Arial" w:hAnsi="Arial" w:cs="Arial"/>
        </w:rPr>
        <w:t xml:space="preserve"> </w:t>
      </w:r>
      <w:r w:rsidR="00C64CF1">
        <w:rPr>
          <w:rFonts w:ascii="Arial" w:hAnsi="Arial" w:cs="Arial"/>
        </w:rPr>
        <w:t xml:space="preserve">del pes de la despesa pública en educació sobre el PIB, com a conseqüència de </w:t>
      </w:r>
      <w:r>
        <w:rPr>
          <w:rFonts w:ascii="Arial" w:hAnsi="Arial" w:cs="Arial"/>
        </w:rPr>
        <w:t>l</w:t>
      </w:r>
      <w:r w:rsidR="006C2D13">
        <w:rPr>
          <w:rFonts w:ascii="Arial" w:hAnsi="Arial" w:cs="Arial"/>
        </w:rPr>
        <w:t>a</w:t>
      </w:r>
      <w:r w:rsidR="00600441">
        <w:rPr>
          <w:rFonts w:ascii="Arial" w:hAnsi="Arial" w:cs="Arial"/>
        </w:rPr>
        <w:t xml:space="preserve"> </w:t>
      </w:r>
      <w:r w:rsidR="006C2D13">
        <w:rPr>
          <w:rFonts w:ascii="Arial" w:hAnsi="Arial" w:cs="Arial"/>
        </w:rPr>
        <w:t>caiguda</w:t>
      </w:r>
      <w:r>
        <w:rPr>
          <w:rFonts w:ascii="Arial" w:hAnsi="Arial" w:cs="Arial"/>
        </w:rPr>
        <w:t xml:space="preserve"> del P</w:t>
      </w:r>
      <w:r w:rsidR="00F85944">
        <w:rPr>
          <w:rFonts w:ascii="Arial" w:hAnsi="Arial" w:cs="Arial"/>
        </w:rPr>
        <w:t>IB català</w:t>
      </w:r>
      <w:r w:rsidR="00C64CF1">
        <w:rPr>
          <w:rFonts w:ascii="Arial" w:hAnsi="Arial" w:cs="Arial"/>
        </w:rPr>
        <w:t>,</w:t>
      </w:r>
      <w:r w:rsidR="006C2D13">
        <w:rPr>
          <w:rFonts w:ascii="Arial" w:hAnsi="Arial" w:cs="Arial"/>
        </w:rPr>
        <w:t xml:space="preserve"> s</w:t>
      </w:r>
      <w:r w:rsidR="00304ADC">
        <w:rPr>
          <w:rFonts w:ascii="Arial" w:hAnsi="Arial" w:cs="Arial"/>
        </w:rPr>
        <w:t xml:space="preserve">’observa amb </w:t>
      </w:r>
      <w:r w:rsidR="006C2D13">
        <w:rPr>
          <w:rFonts w:ascii="Arial" w:hAnsi="Arial" w:cs="Arial"/>
        </w:rPr>
        <w:t xml:space="preserve">la darrera </w:t>
      </w:r>
      <w:r w:rsidR="00304ADC">
        <w:rPr>
          <w:rFonts w:ascii="Arial" w:hAnsi="Arial" w:cs="Arial"/>
        </w:rPr>
        <w:t>dad</w:t>
      </w:r>
      <w:r w:rsidR="006C2D13">
        <w:rPr>
          <w:rFonts w:ascii="Arial" w:hAnsi="Arial" w:cs="Arial"/>
        </w:rPr>
        <w:t>a</w:t>
      </w:r>
      <w:r w:rsidR="00600441">
        <w:rPr>
          <w:rFonts w:ascii="Arial" w:hAnsi="Arial" w:cs="Arial"/>
        </w:rPr>
        <w:t xml:space="preserve"> </w:t>
      </w:r>
      <w:r w:rsidR="006C2D13">
        <w:rPr>
          <w:rFonts w:ascii="Arial" w:hAnsi="Arial" w:cs="Arial"/>
        </w:rPr>
        <w:t>disponible</w:t>
      </w:r>
      <w:r w:rsidR="00600441">
        <w:rPr>
          <w:rFonts w:ascii="Arial" w:hAnsi="Arial" w:cs="Arial"/>
        </w:rPr>
        <w:t xml:space="preserve"> </w:t>
      </w:r>
      <w:r w:rsidR="006C2D13">
        <w:rPr>
          <w:rFonts w:ascii="Arial" w:hAnsi="Arial" w:cs="Arial"/>
        </w:rPr>
        <w:t>del 201</w:t>
      </w:r>
      <w:r w:rsidR="00301E77">
        <w:rPr>
          <w:rFonts w:ascii="Arial" w:hAnsi="Arial" w:cs="Arial"/>
        </w:rPr>
        <w:t>1</w:t>
      </w:r>
      <w:r w:rsidR="00600441">
        <w:rPr>
          <w:rFonts w:ascii="Arial" w:hAnsi="Arial" w:cs="Arial"/>
        </w:rPr>
        <w:t xml:space="preserve"> </w:t>
      </w:r>
      <w:r w:rsidR="00304ADC">
        <w:rPr>
          <w:rFonts w:ascii="Arial" w:hAnsi="Arial" w:cs="Arial"/>
        </w:rPr>
        <w:t>com retrocedeix el pes sobre el PIB de la despesa pública en educació a Cat</w:t>
      </w:r>
      <w:r w:rsidR="00687C45">
        <w:rPr>
          <w:rFonts w:ascii="Arial" w:hAnsi="Arial" w:cs="Arial"/>
        </w:rPr>
        <w:t>a</w:t>
      </w:r>
      <w:r w:rsidR="00304ADC">
        <w:rPr>
          <w:rFonts w:ascii="Arial" w:hAnsi="Arial" w:cs="Arial"/>
        </w:rPr>
        <w:t>lunya</w:t>
      </w:r>
      <w:r w:rsidR="00301E77">
        <w:rPr>
          <w:rFonts w:ascii="Arial" w:hAnsi="Arial" w:cs="Arial"/>
        </w:rPr>
        <w:t>. Les dades del conjunt d</w:t>
      </w:r>
      <w:r w:rsidR="00F85944">
        <w:rPr>
          <w:rFonts w:ascii="Arial" w:hAnsi="Arial" w:cs="Arial"/>
        </w:rPr>
        <w:t>’Espanya</w:t>
      </w:r>
      <w:r w:rsidR="00301E77">
        <w:rPr>
          <w:rFonts w:ascii="Arial" w:hAnsi="Arial" w:cs="Arial"/>
        </w:rPr>
        <w:t xml:space="preserve"> i de la despesa en educació de la Generalitat, indiquen el retrocés de l’esforç en despesa educativa púbica fins l’any 2013</w:t>
      </w:r>
      <w:r w:rsidR="00304ADC">
        <w:rPr>
          <w:rFonts w:ascii="Arial" w:hAnsi="Arial" w:cs="Arial"/>
        </w:rPr>
        <w:t>.</w:t>
      </w:r>
    </w:p>
    <w:p w:rsidR="00600441" w:rsidRPr="00D530D3" w:rsidRDefault="00600441" w:rsidP="00715108">
      <w:pPr>
        <w:rPr>
          <w:rFonts w:ascii="Arial" w:hAnsi="Arial" w:cs="Arial"/>
          <w:b/>
        </w:rPr>
      </w:pPr>
    </w:p>
    <w:p w:rsidR="00600441" w:rsidRPr="00D530D3" w:rsidRDefault="00600441" w:rsidP="00715108">
      <w:pPr>
        <w:rPr>
          <w:rFonts w:ascii="Arial" w:hAnsi="Arial" w:cs="Arial"/>
          <w:b/>
        </w:rPr>
      </w:pPr>
    </w:p>
    <w:p w:rsidR="00600441" w:rsidRPr="00D530D3" w:rsidRDefault="00600441" w:rsidP="00715108">
      <w:pPr>
        <w:rPr>
          <w:rFonts w:ascii="Arial" w:hAnsi="Arial" w:cs="Arial"/>
          <w:b/>
        </w:rPr>
      </w:pPr>
    </w:p>
    <w:p w:rsidR="00600441" w:rsidRDefault="00600441" w:rsidP="00715108">
      <w:pPr>
        <w:rPr>
          <w:rFonts w:ascii="Arial" w:hAnsi="Arial" w:cs="Arial"/>
          <w:b/>
        </w:rPr>
      </w:pPr>
    </w:p>
    <w:p w:rsidR="00600441" w:rsidRPr="00D530D3" w:rsidRDefault="00600441" w:rsidP="00715108">
      <w:pPr>
        <w:rPr>
          <w:rFonts w:ascii="Arial" w:hAnsi="Arial" w:cs="Arial"/>
          <w:b/>
        </w:rPr>
      </w:pPr>
    </w:p>
    <w:p w:rsidR="0090361A" w:rsidRPr="00EA3E99" w:rsidRDefault="0090361A" w:rsidP="00574DE8">
      <w:pPr>
        <w:spacing w:after="0"/>
        <w:rPr>
          <w:rFonts w:ascii="Arial" w:hAnsi="Arial" w:cs="Arial"/>
          <w:b/>
          <w:sz w:val="20"/>
          <w:szCs w:val="20"/>
        </w:rPr>
      </w:pPr>
      <w:r w:rsidRPr="00EA3E99">
        <w:rPr>
          <w:rFonts w:ascii="Arial" w:hAnsi="Arial" w:cs="Arial"/>
          <w:b/>
          <w:sz w:val="20"/>
          <w:szCs w:val="20"/>
        </w:rPr>
        <w:t>Despesa en protec</w:t>
      </w:r>
      <w:r w:rsidR="00D83E2A" w:rsidRPr="00EA3E99">
        <w:rPr>
          <w:rFonts w:ascii="Arial" w:hAnsi="Arial" w:cs="Arial"/>
          <w:b/>
          <w:sz w:val="20"/>
          <w:szCs w:val="20"/>
        </w:rPr>
        <w:t xml:space="preserve">ció social sobre PIB. </w:t>
      </w:r>
      <w:r w:rsidR="002A1E3B">
        <w:rPr>
          <w:rFonts w:ascii="Arial" w:hAnsi="Arial" w:cs="Arial"/>
          <w:b/>
          <w:sz w:val="20"/>
          <w:szCs w:val="20"/>
        </w:rPr>
        <w:t>2000</w:t>
      </w:r>
      <w:r w:rsidR="00D83E2A" w:rsidRPr="00EA3E99">
        <w:rPr>
          <w:rFonts w:ascii="Arial" w:hAnsi="Arial" w:cs="Arial"/>
          <w:b/>
          <w:sz w:val="20"/>
          <w:szCs w:val="20"/>
        </w:rPr>
        <w:t>-201</w:t>
      </w:r>
      <w:r w:rsidR="002A1E3B">
        <w:rPr>
          <w:rFonts w:ascii="Arial" w:hAnsi="Arial" w:cs="Arial"/>
          <w:b/>
          <w:sz w:val="20"/>
          <w:szCs w:val="20"/>
        </w:rPr>
        <w:t>2</w:t>
      </w:r>
    </w:p>
    <w:bookmarkEnd w:id="1"/>
    <w:p w:rsidR="003912DC" w:rsidRPr="003164BE" w:rsidRDefault="000551E4" w:rsidP="003912DC">
      <w:pPr>
        <w:spacing w:after="0"/>
        <w:jc w:val="center"/>
        <w:rPr>
          <w:rFonts w:ascii="Arial" w:hAnsi="Arial" w:cs="Arial"/>
          <w:sz w:val="16"/>
          <w:szCs w:val="16"/>
        </w:rPr>
      </w:pPr>
      <w:r w:rsidRPr="000551E4">
        <w:rPr>
          <w:noProof/>
          <w:szCs w:val="16"/>
          <w:lang w:eastAsia="ca-ES"/>
        </w:rPr>
        <w:drawing>
          <wp:inline distT="0" distB="0" distL="0" distR="0">
            <wp:extent cx="5400040" cy="2885083"/>
            <wp:effectExtent l="19050" t="0" r="0" b="0"/>
            <wp:docPr id="54"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234127" w:rsidRDefault="00234127" w:rsidP="00234127">
      <w:pPr>
        <w:spacing w:after="0"/>
        <w:jc w:val="both"/>
      </w:pPr>
      <w:r>
        <w:rPr>
          <w:rFonts w:ascii="Arial" w:hAnsi="Arial" w:cs="Arial"/>
          <w:sz w:val="16"/>
          <w:szCs w:val="16"/>
        </w:rPr>
        <w:t>Nota: Per les dades de la UE: dels anys 2000 a 2004 dades de la UE-25, dels anys 2005 a 2007 dades de la UE-27, i dels anys 2008-2012 dades de la UE-28; el càlcul de Catalunya s’utilitza el PIB en termes SEC 2010 de la CR.</w:t>
      </w:r>
    </w:p>
    <w:p w:rsidR="00EA3E99" w:rsidRDefault="00234127" w:rsidP="00715108">
      <w:pPr>
        <w:jc w:val="both"/>
        <w:rPr>
          <w:rFonts w:ascii="Arial" w:hAnsi="Arial" w:cs="Arial"/>
          <w:sz w:val="16"/>
          <w:szCs w:val="16"/>
        </w:rPr>
      </w:pPr>
      <w:r w:rsidRPr="00A83FB2">
        <w:rPr>
          <w:rFonts w:ascii="Arial" w:hAnsi="Arial" w:cs="Arial"/>
          <w:sz w:val="16"/>
          <w:szCs w:val="16"/>
        </w:rPr>
        <w:t>Font: Elaboració pròpia a partir de dades d’Eurostat, INE i Idescat.</w:t>
      </w:r>
      <w:bookmarkStart w:id="2" w:name="OLE_LINK31"/>
    </w:p>
    <w:p w:rsidR="00715108" w:rsidRDefault="00715108" w:rsidP="00715108">
      <w:pPr>
        <w:jc w:val="both"/>
        <w:rPr>
          <w:rFonts w:ascii="Arial" w:hAnsi="Arial" w:cs="Arial"/>
          <w:sz w:val="16"/>
          <w:szCs w:val="16"/>
        </w:rPr>
      </w:pPr>
    </w:p>
    <w:p w:rsidR="003912DC" w:rsidRPr="002F6D36" w:rsidRDefault="003912DC" w:rsidP="00574DE8">
      <w:pPr>
        <w:spacing w:after="0"/>
        <w:rPr>
          <w:rFonts w:ascii="Arial" w:hAnsi="Arial" w:cs="Arial"/>
          <w:b/>
          <w:sz w:val="20"/>
          <w:szCs w:val="20"/>
        </w:rPr>
      </w:pPr>
      <w:bookmarkStart w:id="3" w:name="OLE_LINK32"/>
      <w:r w:rsidRPr="002F6D36">
        <w:rPr>
          <w:rFonts w:ascii="Arial" w:hAnsi="Arial" w:cs="Arial"/>
          <w:b/>
          <w:sz w:val="20"/>
          <w:szCs w:val="20"/>
        </w:rPr>
        <w:t xml:space="preserve">Despesa en protecció social menys </w:t>
      </w:r>
      <w:r w:rsidR="001B6E21">
        <w:rPr>
          <w:rFonts w:ascii="Arial" w:hAnsi="Arial" w:cs="Arial"/>
          <w:b/>
          <w:sz w:val="20"/>
          <w:szCs w:val="20"/>
        </w:rPr>
        <w:t>vellesa</w:t>
      </w:r>
      <w:r w:rsidRPr="002F6D36">
        <w:rPr>
          <w:rFonts w:ascii="Arial" w:hAnsi="Arial" w:cs="Arial"/>
          <w:b/>
          <w:sz w:val="20"/>
          <w:szCs w:val="20"/>
        </w:rPr>
        <w:t xml:space="preserve"> i supervivència i atur sobre PIB. </w:t>
      </w:r>
      <w:r w:rsidR="002A1E3B">
        <w:rPr>
          <w:rFonts w:ascii="Arial" w:hAnsi="Arial" w:cs="Arial"/>
          <w:b/>
          <w:sz w:val="20"/>
          <w:szCs w:val="20"/>
        </w:rPr>
        <w:t>2000</w:t>
      </w:r>
      <w:r w:rsidRPr="002F6D36">
        <w:rPr>
          <w:rFonts w:ascii="Arial" w:hAnsi="Arial" w:cs="Arial"/>
          <w:b/>
          <w:sz w:val="20"/>
          <w:szCs w:val="20"/>
        </w:rPr>
        <w:noBreakHyphen/>
        <w:t>201</w:t>
      </w:r>
      <w:r w:rsidR="002A1E3B">
        <w:rPr>
          <w:rFonts w:ascii="Arial" w:hAnsi="Arial" w:cs="Arial"/>
          <w:b/>
          <w:sz w:val="20"/>
          <w:szCs w:val="20"/>
        </w:rPr>
        <w:t>2</w:t>
      </w:r>
    </w:p>
    <w:bookmarkEnd w:id="3"/>
    <w:p w:rsidR="003912DC" w:rsidRPr="003164BE" w:rsidRDefault="000551E4" w:rsidP="003912DC">
      <w:pPr>
        <w:spacing w:after="0"/>
        <w:jc w:val="center"/>
        <w:rPr>
          <w:rFonts w:ascii="Arial" w:hAnsi="Arial" w:cs="Arial"/>
          <w:sz w:val="16"/>
          <w:szCs w:val="16"/>
        </w:rPr>
      </w:pPr>
      <w:r w:rsidRPr="000551E4">
        <w:rPr>
          <w:noProof/>
          <w:szCs w:val="16"/>
          <w:lang w:eastAsia="ca-ES"/>
        </w:rPr>
        <w:drawing>
          <wp:inline distT="0" distB="0" distL="0" distR="0">
            <wp:extent cx="5400040" cy="2885083"/>
            <wp:effectExtent l="19050" t="0" r="0" b="0"/>
            <wp:docPr id="56"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2A1E3B" w:rsidRDefault="002A1E3B" w:rsidP="002A1E3B">
      <w:pPr>
        <w:spacing w:after="0"/>
        <w:jc w:val="both"/>
      </w:pPr>
      <w:r>
        <w:rPr>
          <w:rFonts w:ascii="Arial" w:hAnsi="Arial" w:cs="Arial"/>
          <w:sz w:val="16"/>
          <w:szCs w:val="16"/>
        </w:rPr>
        <w:t xml:space="preserve">Nota: Per les dades de la UE: dels anys 2000 a 2004 dades de la UE-25, dels anys 2005 a 2007 dades de la UE-27, i dels anys 2008-2012 dades de la UE-28; el càlcul de Catalunya s’utilitza el PIB en termes SEC 2010 de la CR. </w:t>
      </w:r>
    </w:p>
    <w:p w:rsidR="003912DC" w:rsidRPr="002F6D36" w:rsidRDefault="002A1E3B" w:rsidP="00715108">
      <w:pPr>
        <w:jc w:val="both"/>
      </w:pPr>
      <w:r w:rsidRPr="00A83FB2">
        <w:rPr>
          <w:rFonts w:ascii="Arial" w:hAnsi="Arial" w:cs="Arial"/>
          <w:sz w:val="16"/>
          <w:szCs w:val="16"/>
        </w:rPr>
        <w:t>Font: Elaboració pròpia a partir de dades d’Eurostat, INE i Idescat.</w:t>
      </w:r>
    </w:p>
    <w:p w:rsidR="00FE5F7C" w:rsidRPr="00D530D3" w:rsidRDefault="00FE5F7C" w:rsidP="00715108">
      <w:pPr>
        <w:jc w:val="both"/>
        <w:rPr>
          <w:rFonts w:ascii="Arial" w:hAnsi="Arial" w:cs="Arial"/>
        </w:rPr>
      </w:pPr>
    </w:p>
    <w:p w:rsidR="00301E77" w:rsidRPr="00D530D3" w:rsidRDefault="00301E77" w:rsidP="00715108">
      <w:pPr>
        <w:jc w:val="both"/>
        <w:rPr>
          <w:rFonts w:ascii="Arial" w:hAnsi="Arial" w:cs="Arial"/>
        </w:rPr>
      </w:pPr>
    </w:p>
    <w:p w:rsidR="00301E77" w:rsidRPr="00D530D3" w:rsidRDefault="00301E77" w:rsidP="00715108">
      <w:pPr>
        <w:jc w:val="both"/>
        <w:rPr>
          <w:rFonts w:ascii="Arial" w:hAnsi="Arial" w:cs="Arial"/>
        </w:rPr>
      </w:pPr>
    </w:p>
    <w:p w:rsidR="00301E77" w:rsidRPr="00D530D3" w:rsidRDefault="00301E77" w:rsidP="00715108">
      <w:pPr>
        <w:jc w:val="both"/>
        <w:rPr>
          <w:rFonts w:ascii="Arial" w:hAnsi="Arial" w:cs="Arial"/>
        </w:rPr>
      </w:pPr>
    </w:p>
    <w:p w:rsidR="00301E77" w:rsidRPr="00D530D3" w:rsidRDefault="00301E77" w:rsidP="00715108">
      <w:pPr>
        <w:jc w:val="both"/>
        <w:rPr>
          <w:rFonts w:ascii="Arial" w:hAnsi="Arial" w:cs="Arial"/>
        </w:rPr>
      </w:pPr>
    </w:p>
    <w:p w:rsidR="0090361A" w:rsidRPr="00EA3E99" w:rsidRDefault="0090361A" w:rsidP="00574DE8">
      <w:pPr>
        <w:spacing w:after="0"/>
        <w:rPr>
          <w:rFonts w:ascii="Arial" w:hAnsi="Arial" w:cs="Arial"/>
          <w:b/>
          <w:sz w:val="20"/>
          <w:szCs w:val="20"/>
        </w:rPr>
      </w:pPr>
      <w:r w:rsidRPr="00EA3E99">
        <w:rPr>
          <w:rFonts w:ascii="Arial" w:hAnsi="Arial" w:cs="Arial"/>
          <w:b/>
          <w:sz w:val="20"/>
          <w:szCs w:val="20"/>
        </w:rPr>
        <w:t xml:space="preserve">Despesa en educació sobre PIB. </w:t>
      </w:r>
      <w:r w:rsidR="00234127">
        <w:rPr>
          <w:rFonts w:ascii="Arial" w:hAnsi="Arial" w:cs="Arial"/>
          <w:b/>
          <w:sz w:val="20"/>
          <w:szCs w:val="20"/>
        </w:rPr>
        <w:t>2000</w:t>
      </w:r>
      <w:r w:rsidRPr="00EA3E99">
        <w:rPr>
          <w:rFonts w:ascii="Arial" w:hAnsi="Arial" w:cs="Arial"/>
          <w:b/>
          <w:sz w:val="20"/>
          <w:szCs w:val="20"/>
        </w:rPr>
        <w:t>-201</w:t>
      </w:r>
      <w:r w:rsidR="00964CAF">
        <w:rPr>
          <w:rFonts w:ascii="Arial" w:hAnsi="Arial" w:cs="Arial"/>
          <w:b/>
          <w:sz w:val="20"/>
          <w:szCs w:val="20"/>
        </w:rPr>
        <w:t>3</w:t>
      </w:r>
    </w:p>
    <w:bookmarkEnd w:id="2"/>
    <w:p w:rsidR="008458D0" w:rsidRDefault="000551E4" w:rsidP="00234127">
      <w:pPr>
        <w:spacing w:after="0"/>
        <w:jc w:val="both"/>
        <w:rPr>
          <w:rFonts w:ascii="Arial" w:hAnsi="Arial" w:cs="Arial"/>
          <w:sz w:val="16"/>
          <w:szCs w:val="16"/>
        </w:rPr>
      </w:pPr>
      <w:r w:rsidRPr="000551E4">
        <w:rPr>
          <w:noProof/>
          <w:szCs w:val="16"/>
          <w:lang w:eastAsia="ca-ES"/>
        </w:rPr>
        <w:drawing>
          <wp:inline distT="0" distB="0" distL="0" distR="0">
            <wp:extent cx="5400040" cy="2885083"/>
            <wp:effectExtent l="19050" t="0" r="0" b="0"/>
            <wp:docPr id="47"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234127" w:rsidRDefault="00234127" w:rsidP="00234127">
      <w:pPr>
        <w:spacing w:after="0"/>
        <w:jc w:val="both"/>
        <w:rPr>
          <w:rFonts w:ascii="Arial" w:hAnsi="Arial" w:cs="Arial"/>
          <w:sz w:val="16"/>
          <w:szCs w:val="16"/>
        </w:rPr>
      </w:pPr>
      <w:r>
        <w:rPr>
          <w:rFonts w:ascii="Arial" w:hAnsi="Arial" w:cs="Arial"/>
          <w:sz w:val="16"/>
          <w:szCs w:val="16"/>
        </w:rPr>
        <w:t xml:space="preserve">Nota: Per les dades de la UE: dels anys 2000 a 2001 dades de la UE-27, i dels anys 2002 a 2011 dades de la UE-28; el càlcul de Catalunya dades de l’Idescat. </w:t>
      </w:r>
      <w:r w:rsidR="00964CAF">
        <w:rPr>
          <w:rFonts w:ascii="Arial" w:hAnsi="Arial" w:cs="Arial"/>
          <w:sz w:val="16"/>
          <w:szCs w:val="16"/>
        </w:rPr>
        <w:t>Les dades de depesa en educació de la Generalitat s’obtenen del Ministeri d’Educació i es posen en relació amb el PIB en termes SEC 2010 de la CR.</w:t>
      </w:r>
    </w:p>
    <w:p w:rsidR="007A36A5" w:rsidRDefault="007A36A5" w:rsidP="00234127">
      <w:pPr>
        <w:spacing w:after="0"/>
        <w:jc w:val="both"/>
      </w:pPr>
      <w:r>
        <w:rPr>
          <w:rFonts w:ascii="Arial" w:hAnsi="Arial" w:cs="Arial"/>
          <w:sz w:val="16"/>
          <w:szCs w:val="16"/>
        </w:rPr>
        <w:t>(p): Dada provisional</w:t>
      </w:r>
    </w:p>
    <w:p w:rsidR="00FE5F7C" w:rsidRDefault="00234127" w:rsidP="00715108">
      <w:pPr>
        <w:jc w:val="both"/>
        <w:rPr>
          <w:rFonts w:ascii="Arial" w:hAnsi="Arial" w:cs="Arial"/>
          <w:sz w:val="16"/>
          <w:szCs w:val="16"/>
        </w:rPr>
      </w:pPr>
      <w:r w:rsidRPr="00A83FB2">
        <w:rPr>
          <w:rFonts w:ascii="Arial" w:hAnsi="Arial" w:cs="Arial"/>
          <w:sz w:val="16"/>
          <w:szCs w:val="16"/>
        </w:rPr>
        <w:t>Font: Elaboració pròpia a partir de dades d’Eurostat, INE</w:t>
      </w:r>
      <w:r w:rsidR="00964CAF">
        <w:rPr>
          <w:rFonts w:ascii="Arial" w:hAnsi="Arial" w:cs="Arial"/>
          <w:sz w:val="16"/>
          <w:szCs w:val="16"/>
        </w:rPr>
        <w:t>,</w:t>
      </w:r>
      <w:r w:rsidRPr="00A83FB2">
        <w:rPr>
          <w:rFonts w:ascii="Arial" w:hAnsi="Arial" w:cs="Arial"/>
          <w:sz w:val="16"/>
          <w:szCs w:val="16"/>
        </w:rPr>
        <w:t>Idescat</w:t>
      </w:r>
      <w:r w:rsidR="00964CAF">
        <w:rPr>
          <w:rFonts w:ascii="Arial" w:hAnsi="Arial" w:cs="Arial"/>
          <w:sz w:val="16"/>
          <w:szCs w:val="16"/>
        </w:rPr>
        <w:t>, i l’estadística de “Gasto público en educación en España” del Ministeri d’Educació i Ciència</w:t>
      </w:r>
      <w:r w:rsidRPr="00A83FB2">
        <w:rPr>
          <w:rFonts w:ascii="Arial" w:hAnsi="Arial" w:cs="Arial"/>
          <w:sz w:val="16"/>
          <w:szCs w:val="16"/>
        </w:rPr>
        <w:t>.</w:t>
      </w:r>
    </w:p>
    <w:p w:rsidR="00715108" w:rsidRPr="00D530D3" w:rsidRDefault="00715108" w:rsidP="00715108">
      <w:pPr>
        <w:jc w:val="both"/>
        <w:rPr>
          <w:rFonts w:ascii="Arial" w:hAnsi="Arial" w:cs="Arial"/>
        </w:rPr>
      </w:pPr>
    </w:p>
    <w:p w:rsidR="00A5017E" w:rsidRDefault="00A5017E" w:rsidP="003D733D">
      <w:pPr>
        <w:numPr>
          <w:ilvl w:val="0"/>
          <w:numId w:val="3"/>
        </w:numPr>
        <w:ind w:left="426" w:hanging="426"/>
        <w:rPr>
          <w:rFonts w:ascii="Arial" w:hAnsi="Arial" w:cs="Arial"/>
          <w:b/>
          <w:sz w:val="28"/>
          <w:szCs w:val="28"/>
        </w:rPr>
      </w:pPr>
      <w:r w:rsidRPr="00E12744">
        <w:rPr>
          <w:rFonts w:ascii="Arial" w:hAnsi="Arial" w:cs="Arial"/>
          <w:b/>
          <w:sz w:val="28"/>
          <w:szCs w:val="28"/>
        </w:rPr>
        <w:t>Pressió Fiscal</w:t>
      </w:r>
    </w:p>
    <w:p w:rsidR="00A5017E" w:rsidRDefault="00AF17A6" w:rsidP="00A5017E">
      <w:pPr>
        <w:jc w:val="both"/>
        <w:rPr>
          <w:rFonts w:ascii="Arial" w:hAnsi="Arial" w:cs="Arial"/>
        </w:rPr>
      </w:pPr>
      <w:r>
        <w:rPr>
          <w:rFonts w:ascii="Arial" w:hAnsi="Arial" w:cs="Arial"/>
        </w:rPr>
        <w:t>Com ja posàvem de manifest en el darrer informe de desigualtats, u</w:t>
      </w:r>
      <w:r w:rsidR="00A5017E">
        <w:rPr>
          <w:rFonts w:ascii="Arial" w:hAnsi="Arial" w:cs="Arial"/>
        </w:rPr>
        <w:t>na de les raons per les quals es manté la distància respecte la mitjana de països de la UE-2</w:t>
      </w:r>
      <w:r w:rsidR="00301E77">
        <w:rPr>
          <w:rFonts w:ascii="Arial" w:hAnsi="Arial" w:cs="Arial"/>
        </w:rPr>
        <w:t>8</w:t>
      </w:r>
      <w:r w:rsidR="00A5017E">
        <w:rPr>
          <w:rFonts w:ascii="Arial" w:hAnsi="Arial" w:cs="Arial"/>
        </w:rPr>
        <w:t xml:space="preserve"> en relació amb l’esforç en despesa de protecció social</w:t>
      </w:r>
      <w:r w:rsidR="00301E77">
        <w:rPr>
          <w:rFonts w:ascii="Arial" w:hAnsi="Arial" w:cs="Arial"/>
        </w:rPr>
        <w:t xml:space="preserve"> i d’educació</w:t>
      </w:r>
      <w:r w:rsidR="00A5017E">
        <w:rPr>
          <w:rFonts w:ascii="Arial" w:hAnsi="Arial" w:cs="Arial"/>
        </w:rPr>
        <w:t xml:space="preserve"> és perquè Catalunya, i Espanya, han construït un sistema tributari amb un menor esforç fiscal o pressió fiscal que </w:t>
      </w:r>
      <w:r w:rsidR="00301E77">
        <w:rPr>
          <w:rFonts w:ascii="Arial" w:hAnsi="Arial" w:cs="Arial"/>
        </w:rPr>
        <w:t>la majoria de països de la UE-28</w:t>
      </w:r>
      <w:r w:rsidR="00A5017E">
        <w:rPr>
          <w:rFonts w:ascii="Arial" w:hAnsi="Arial" w:cs="Arial"/>
        </w:rPr>
        <w:t>, la qual cosa limita la capacitat dels seus governs per implementar polítiques amb u</w:t>
      </w:r>
      <w:r w:rsidR="00A575C9">
        <w:rPr>
          <w:rFonts w:ascii="Arial" w:hAnsi="Arial" w:cs="Arial"/>
        </w:rPr>
        <w:t xml:space="preserve">n impacte més gran en la lluita </w:t>
      </w:r>
      <w:r w:rsidR="00A5017E">
        <w:rPr>
          <w:rFonts w:ascii="Arial" w:hAnsi="Arial" w:cs="Arial"/>
        </w:rPr>
        <w:t xml:space="preserve">contra les desigualtats socials. </w:t>
      </w:r>
      <w:r w:rsidR="00F41531">
        <w:rPr>
          <w:rFonts w:ascii="Arial" w:hAnsi="Arial" w:cs="Arial"/>
        </w:rPr>
        <w:t>E</w:t>
      </w:r>
      <w:r w:rsidR="00A5017E">
        <w:rPr>
          <w:rFonts w:ascii="Arial" w:hAnsi="Arial" w:cs="Arial"/>
        </w:rPr>
        <w:t xml:space="preserve">n els </w:t>
      </w:r>
      <w:r w:rsidR="005C6303">
        <w:rPr>
          <w:rFonts w:ascii="Arial" w:hAnsi="Arial" w:cs="Arial"/>
        </w:rPr>
        <w:t>vuit</w:t>
      </w:r>
      <w:r w:rsidR="00A5017E">
        <w:rPr>
          <w:rFonts w:ascii="Arial" w:hAnsi="Arial" w:cs="Arial"/>
        </w:rPr>
        <w:t xml:space="preserve"> anys previs a la crisi</w:t>
      </w:r>
      <w:r w:rsidR="00A5017E">
        <w:rPr>
          <w:rStyle w:val="Refdenotaalpie"/>
          <w:rFonts w:ascii="Arial" w:hAnsi="Arial" w:cs="Arial"/>
        </w:rPr>
        <w:footnoteReference w:id="3"/>
      </w:r>
      <w:r w:rsidR="00A5017E">
        <w:rPr>
          <w:rFonts w:ascii="Arial" w:hAnsi="Arial" w:cs="Arial"/>
        </w:rPr>
        <w:t xml:space="preserve">, entre el </w:t>
      </w:r>
      <w:r w:rsidR="005C6303">
        <w:rPr>
          <w:rFonts w:ascii="Arial" w:hAnsi="Arial" w:cs="Arial"/>
        </w:rPr>
        <w:t>2000</w:t>
      </w:r>
      <w:r w:rsidR="00A5017E">
        <w:rPr>
          <w:rFonts w:ascii="Arial" w:hAnsi="Arial" w:cs="Arial"/>
        </w:rPr>
        <w:t xml:space="preserve"> i 200</w:t>
      </w:r>
      <w:r w:rsidR="005C6303">
        <w:rPr>
          <w:rFonts w:ascii="Arial" w:hAnsi="Arial" w:cs="Arial"/>
        </w:rPr>
        <w:t>7</w:t>
      </w:r>
      <w:r w:rsidR="00A5017E">
        <w:rPr>
          <w:rFonts w:ascii="Arial" w:hAnsi="Arial" w:cs="Arial"/>
        </w:rPr>
        <w:t xml:space="preserve">, la pressió fiscal a Espanya ha estat en termes mitjans </w:t>
      </w:r>
      <w:r w:rsidR="005C6303">
        <w:rPr>
          <w:rFonts w:ascii="Arial" w:hAnsi="Arial" w:cs="Arial"/>
        </w:rPr>
        <w:t>4,1</w:t>
      </w:r>
      <w:r w:rsidR="00A5017E">
        <w:rPr>
          <w:rFonts w:ascii="Arial" w:hAnsi="Arial" w:cs="Arial"/>
        </w:rPr>
        <w:t xml:space="preserve"> punts percentuals per sota la mitjana dels països de la UE-27, si bé els tres darre</w:t>
      </w:r>
      <w:r w:rsidR="00586CD9">
        <w:rPr>
          <w:rFonts w:ascii="Arial" w:hAnsi="Arial" w:cs="Arial"/>
        </w:rPr>
        <w:t>rs anys abans de la crisi (200</w:t>
      </w:r>
      <w:r w:rsidR="005C6303">
        <w:rPr>
          <w:rFonts w:ascii="Arial" w:hAnsi="Arial" w:cs="Arial"/>
        </w:rPr>
        <w:t>5</w:t>
      </w:r>
      <w:r w:rsidR="00586CD9">
        <w:rPr>
          <w:rFonts w:ascii="Arial" w:hAnsi="Arial" w:cs="Arial"/>
        </w:rPr>
        <w:noBreakHyphen/>
      </w:r>
      <w:r w:rsidR="00A5017E">
        <w:rPr>
          <w:rFonts w:ascii="Arial" w:hAnsi="Arial" w:cs="Arial"/>
        </w:rPr>
        <w:t>2007) aquesta distància es va retallar gairebé en dos punts percentuals derivat del creixement de l’activitat econòmica.</w:t>
      </w:r>
    </w:p>
    <w:p w:rsidR="00F47D83" w:rsidRDefault="00F47D83" w:rsidP="00A5017E">
      <w:pPr>
        <w:jc w:val="both"/>
        <w:rPr>
          <w:rFonts w:ascii="Arial" w:hAnsi="Arial" w:cs="Arial"/>
        </w:rPr>
      </w:pPr>
      <w:r>
        <w:rPr>
          <w:rFonts w:ascii="Arial" w:hAnsi="Arial" w:cs="Arial"/>
        </w:rPr>
        <w:t>Al llarg de la crisi aquesta distància es consolida i tendeix fins i tot a augmentar, així en termes mitjans dels anys 2008-2013 Catalunya i Espanya mantenen una pressió fiscal que es situa 6,5 punts percentuals i 6,7 punt percentuals, respectivament, per sota de la mitjana dels països de la UE-28.</w:t>
      </w:r>
    </w:p>
    <w:p w:rsidR="00A5017E" w:rsidRDefault="00A5017E" w:rsidP="00A5017E">
      <w:pPr>
        <w:jc w:val="both"/>
        <w:rPr>
          <w:rFonts w:ascii="Arial" w:hAnsi="Arial" w:cs="Arial"/>
        </w:rPr>
      </w:pPr>
      <w:r w:rsidRPr="00B37EEC">
        <w:rPr>
          <w:rFonts w:ascii="Arial" w:hAnsi="Arial" w:cs="Arial"/>
        </w:rPr>
        <w:lastRenderedPageBreak/>
        <w:t xml:space="preserve">Des de l’inici de la crisi </w:t>
      </w:r>
      <w:r>
        <w:rPr>
          <w:rFonts w:ascii="Arial" w:hAnsi="Arial" w:cs="Arial"/>
        </w:rPr>
        <w:t>i fins l’any 201</w:t>
      </w:r>
      <w:r w:rsidR="00A80765">
        <w:rPr>
          <w:rFonts w:ascii="Arial" w:hAnsi="Arial" w:cs="Arial"/>
        </w:rPr>
        <w:t>3</w:t>
      </w:r>
      <w:r w:rsidR="000A56EF">
        <w:rPr>
          <w:rFonts w:ascii="Arial" w:hAnsi="Arial" w:cs="Arial"/>
        </w:rPr>
        <w:t xml:space="preserve"> (última dada disponible)</w:t>
      </w:r>
      <w:r w:rsidR="00F47D83">
        <w:rPr>
          <w:rFonts w:ascii="Arial" w:hAnsi="Arial" w:cs="Arial"/>
        </w:rPr>
        <w:t xml:space="preserve"> mentre la pressió fiscal mitjana dels països de la UE-28 es manté relativament estable, amb un lleuger </w:t>
      </w:r>
      <w:r w:rsidR="00A915ED">
        <w:rPr>
          <w:rFonts w:ascii="Arial" w:hAnsi="Arial" w:cs="Arial"/>
        </w:rPr>
        <w:t>increment de 0,6</w:t>
      </w:r>
      <w:r w:rsidR="00F47D83">
        <w:rPr>
          <w:rFonts w:ascii="Arial" w:hAnsi="Arial" w:cs="Arial"/>
        </w:rPr>
        <w:t xml:space="preserve"> punts percentuals, </w:t>
      </w:r>
      <w:r w:rsidRPr="00B37EEC">
        <w:rPr>
          <w:rFonts w:ascii="Arial" w:hAnsi="Arial" w:cs="Arial"/>
        </w:rPr>
        <w:t>la pressió fiscal a Cat</w:t>
      </w:r>
      <w:r>
        <w:rPr>
          <w:rFonts w:ascii="Arial" w:hAnsi="Arial" w:cs="Arial"/>
        </w:rPr>
        <w:t>a</w:t>
      </w:r>
      <w:r w:rsidRPr="00B37EEC">
        <w:rPr>
          <w:rFonts w:ascii="Arial" w:hAnsi="Arial" w:cs="Arial"/>
        </w:rPr>
        <w:t>lunya s’ha redu</w:t>
      </w:r>
      <w:r>
        <w:rPr>
          <w:rFonts w:ascii="Arial" w:hAnsi="Arial" w:cs="Arial"/>
        </w:rPr>
        <w:t>ï</w:t>
      </w:r>
      <w:r w:rsidRPr="00B37EEC">
        <w:rPr>
          <w:rFonts w:ascii="Arial" w:hAnsi="Arial" w:cs="Arial"/>
        </w:rPr>
        <w:t xml:space="preserve">t en </w:t>
      </w:r>
      <w:r>
        <w:rPr>
          <w:rFonts w:ascii="Arial" w:hAnsi="Arial" w:cs="Arial"/>
        </w:rPr>
        <w:t>5,</w:t>
      </w:r>
      <w:r w:rsidR="00A80765">
        <w:rPr>
          <w:rFonts w:ascii="Arial" w:hAnsi="Arial" w:cs="Arial"/>
        </w:rPr>
        <w:t>2</w:t>
      </w:r>
      <w:r>
        <w:rPr>
          <w:rFonts w:ascii="Arial" w:hAnsi="Arial" w:cs="Arial"/>
        </w:rPr>
        <w:t xml:space="preserve"> punts percentuals, la caiguda més gran </w:t>
      </w:r>
      <w:r w:rsidR="00A80765">
        <w:rPr>
          <w:rFonts w:ascii="Arial" w:hAnsi="Arial" w:cs="Arial"/>
        </w:rPr>
        <w:t xml:space="preserve">(conjuntament amb Xipre) </w:t>
      </w:r>
      <w:r>
        <w:rPr>
          <w:rFonts w:ascii="Arial" w:hAnsi="Arial" w:cs="Arial"/>
        </w:rPr>
        <w:t>comparada amb tots els països de la UE-2</w:t>
      </w:r>
      <w:r w:rsidR="00A80765">
        <w:rPr>
          <w:rFonts w:ascii="Arial" w:hAnsi="Arial" w:cs="Arial"/>
        </w:rPr>
        <w:t>8</w:t>
      </w:r>
      <w:r w:rsidR="00290F71">
        <w:rPr>
          <w:rFonts w:ascii="Arial" w:hAnsi="Arial" w:cs="Arial"/>
        </w:rPr>
        <w:t>, i en el con</w:t>
      </w:r>
      <w:r w:rsidR="00AF17A6">
        <w:rPr>
          <w:rFonts w:ascii="Arial" w:hAnsi="Arial" w:cs="Arial"/>
        </w:rPr>
        <w:t>j</w:t>
      </w:r>
      <w:r w:rsidR="00290F71">
        <w:rPr>
          <w:rFonts w:ascii="Arial" w:hAnsi="Arial" w:cs="Arial"/>
        </w:rPr>
        <w:t xml:space="preserve">unt d’Espanya la caiguda ha estat de </w:t>
      </w:r>
      <w:r w:rsidR="001639A7">
        <w:rPr>
          <w:rFonts w:ascii="Arial" w:hAnsi="Arial" w:cs="Arial"/>
        </w:rPr>
        <w:t>4</w:t>
      </w:r>
      <w:r w:rsidR="00F47D83">
        <w:rPr>
          <w:rFonts w:ascii="Arial" w:hAnsi="Arial" w:cs="Arial"/>
        </w:rPr>
        <w:t xml:space="preserve"> punts percentuals</w:t>
      </w:r>
      <w:r w:rsidR="000A56EF">
        <w:rPr>
          <w:rFonts w:ascii="Arial" w:hAnsi="Arial" w:cs="Arial"/>
        </w:rPr>
        <w:t>.</w:t>
      </w:r>
      <w:r w:rsidR="00F47D83">
        <w:rPr>
          <w:rFonts w:ascii="Arial" w:hAnsi="Arial" w:cs="Arial"/>
        </w:rPr>
        <w:t xml:space="preserve"> Així,</w:t>
      </w:r>
      <w:r w:rsidR="00D8493E">
        <w:rPr>
          <w:rFonts w:ascii="Arial" w:hAnsi="Arial" w:cs="Arial"/>
        </w:rPr>
        <w:t xml:space="preserve"> </w:t>
      </w:r>
      <w:r w:rsidR="00F47D83">
        <w:rPr>
          <w:rFonts w:ascii="Arial" w:hAnsi="Arial" w:cs="Arial"/>
        </w:rPr>
        <w:t>l</w:t>
      </w:r>
      <w:r>
        <w:rPr>
          <w:rFonts w:ascii="Arial" w:hAnsi="Arial" w:cs="Arial"/>
        </w:rPr>
        <w:t>’any 201</w:t>
      </w:r>
      <w:r w:rsidR="00A80765">
        <w:rPr>
          <w:rFonts w:ascii="Arial" w:hAnsi="Arial" w:cs="Arial"/>
        </w:rPr>
        <w:t>3</w:t>
      </w:r>
      <w:r>
        <w:rPr>
          <w:rFonts w:ascii="Arial" w:hAnsi="Arial" w:cs="Arial"/>
        </w:rPr>
        <w:t xml:space="preserve"> la pressió fiscal mitjana a la UE-2</w:t>
      </w:r>
      <w:r w:rsidR="00A80765">
        <w:rPr>
          <w:rFonts w:ascii="Arial" w:hAnsi="Arial" w:cs="Arial"/>
        </w:rPr>
        <w:t>8</w:t>
      </w:r>
      <w:r>
        <w:rPr>
          <w:rFonts w:ascii="Arial" w:hAnsi="Arial" w:cs="Arial"/>
        </w:rPr>
        <w:t xml:space="preserve"> és del 39,</w:t>
      </w:r>
      <w:r w:rsidR="00A80765">
        <w:rPr>
          <w:rFonts w:ascii="Arial" w:hAnsi="Arial" w:cs="Arial"/>
        </w:rPr>
        <w:t>1</w:t>
      </w:r>
      <w:r>
        <w:rPr>
          <w:rFonts w:ascii="Arial" w:hAnsi="Arial" w:cs="Arial"/>
        </w:rPr>
        <w:t>%, mentre que a Catalunya i Espanya és del 3</w:t>
      </w:r>
      <w:r w:rsidR="00A80765">
        <w:rPr>
          <w:rFonts w:ascii="Arial" w:hAnsi="Arial" w:cs="Arial"/>
        </w:rPr>
        <w:t>1</w:t>
      </w:r>
      <w:r>
        <w:rPr>
          <w:rFonts w:ascii="Arial" w:hAnsi="Arial" w:cs="Arial"/>
        </w:rPr>
        <w:t>,</w:t>
      </w:r>
      <w:r w:rsidR="00A80765">
        <w:rPr>
          <w:rFonts w:ascii="Arial" w:hAnsi="Arial" w:cs="Arial"/>
        </w:rPr>
        <w:t>8</w:t>
      </w:r>
      <w:r>
        <w:rPr>
          <w:rFonts w:ascii="Arial" w:hAnsi="Arial" w:cs="Arial"/>
        </w:rPr>
        <w:t>% i el 32,</w:t>
      </w:r>
      <w:r w:rsidR="00A80765">
        <w:rPr>
          <w:rFonts w:ascii="Arial" w:hAnsi="Arial" w:cs="Arial"/>
        </w:rPr>
        <w:t>4</w:t>
      </w:r>
      <w:r>
        <w:rPr>
          <w:rFonts w:ascii="Arial" w:hAnsi="Arial" w:cs="Arial"/>
        </w:rPr>
        <w:t>% respectivament.</w:t>
      </w:r>
    </w:p>
    <w:p w:rsidR="00A5017E" w:rsidRDefault="00A5017E" w:rsidP="00A5017E">
      <w:pPr>
        <w:jc w:val="both"/>
        <w:rPr>
          <w:rFonts w:ascii="Arial" w:hAnsi="Arial" w:cs="Arial"/>
        </w:rPr>
      </w:pPr>
      <w:r>
        <w:rPr>
          <w:rFonts w:ascii="Arial" w:hAnsi="Arial" w:cs="Arial"/>
        </w:rPr>
        <w:t>Si bé en els primers anys de la crisi, 2008-2009, en pràcticament tots els països de la UE-2</w:t>
      </w:r>
      <w:r w:rsidR="00A80765">
        <w:rPr>
          <w:rFonts w:ascii="Arial" w:hAnsi="Arial" w:cs="Arial"/>
        </w:rPr>
        <w:t>8</w:t>
      </w:r>
      <w:r>
        <w:rPr>
          <w:rFonts w:ascii="Arial" w:hAnsi="Arial" w:cs="Arial"/>
        </w:rPr>
        <w:t xml:space="preserve"> té lloc una reducció de la pressió fiscal, en </w:t>
      </w:r>
      <w:r w:rsidR="003766FD">
        <w:rPr>
          <w:rFonts w:ascii="Arial" w:hAnsi="Arial" w:cs="Arial"/>
        </w:rPr>
        <w:t xml:space="preserve">els </w:t>
      </w:r>
      <w:r w:rsidR="00A80765">
        <w:rPr>
          <w:rFonts w:ascii="Arial" w:hAnsi="Arial" w:cs="Arial"/>
        </w:rPr>
        <w:t>tre</w:t>
      </w:r>
      <w:r>
        <w:rPr>
          <w:rFonts w:ascii="Arial" w:hAnsi="Arial" w:cs="Arial"/>
        </w:rPr>
        <w:t xml:space="preserve">s </w:t>
      </w:r>
      <w:r w:rsidR="003766FD">
        <w:rPr>
          <w:rFonts w:ascii="Arial" w:hAnsi="Arial" w:cs="Arial"/>
        </w:rPr>
        <w:t xml:space="preserve">següents </w:t>
      </w:r>
      <w:r>
        <w:rPr>
          <w:rFonts w:ascii="Arial" w:hAnsi="Arial" w:cs="Arial"/>
        </w:rPr>
        <w:t>anys, 2011-201</w:t>
      </w:r>
      <w:r w:rsidR="00A80765">
        <w:rPr>
          <w:rFonts w:ascii="Arial" w:hAnsi="Arial" w:cs="Arial"/>
        </w:rPr>
        <w:t>3</w:t>
      </w:r>
      <w:r>
        <w:rPr>
          <w:rFonts w:ascii="Arial" w:hAnsi="Arial" w:cs="Arial"/>
        </w:rPr>
        <w:t>, la majoria d’aquests recuperen l’esforç fiscal perdut, que es situa l’any 201</w:t>
      </w:r>
      <w:r w:rsidR="00A80765">
        <w:rPr>
          <w:rFonts w:ascii="Arial" w:hAnsi="Arial" w:cs="Arial"/>
        </w:rPr>
        <w:t>3</w:t>
      </w:r>
      <w:r w:rsidR="00F41531">
        <w:rPr>
          <w:rFonts w:ascii="Arial" w:hAnsi="Arial" w:cs="Arial"/>
        </w:rPr>
        <w:t xml:space="preserve"> en termes mitjans</w:t>
      </w:r>
      <w:r>
        <w:rPr>
          <w:rFonts w:ascii="Arial" w:hAnsi="Arial" w:cs="Arial"/>
        </w:rPr>
        <w:t xml:space="preserve"> en nivells fins i tot superiors als anteriors a la crisi. A Catalunya, i en el conjunt d’Espanya, tot i els tímids increments que tenen lloc a partir del 2010</w:t>
      </w:r>
      <w:r w:rsidR="008A3CDD">
        <w:rPr>
          <w:rFonts w:ascii="Arial" w:hAnsi="Arial" w:cs="Arial"/>
        </w:rPr>
        <w:t>,</w:t>
      </w:r>
      <w:r>
        <w:rPr>
          <w:rFonts w:ascii="Arial" w:hAnsi="Arial" w:cs="Arial"/>
        </w:rPr>
        <w:t xml:space="preserve"> en cap cas s’han recuperat els nivells de pressió fiscal anteriors a la crisi.</w:t>
      </w:r>
    </w:p>
    <w:p w:rsidR="00A5017E" w:rsidRDefault="00A5017E" w:rsidP="00A5017E">
      <w:pPr>
        <w:jc w:val="both"/>
        <w:rPr>
          <w:rFonts w:ascii="Arial" w:hAnsi="Arial" w:cs="Arial"/>
        </w:rPr>
      </w:pPr>
      <w:r>
        <w:rPr>
          <w:rFonts w:ascii="Arial" w:hAnsi="Arial" w:cs="Arial"/>
        </w:rPr>
        <w:t>La reducció de la pressió fiscal en els primers anys de la crisi (2008 i 2009), en pràcticament tots</w:t>
      </w:r>
      <w:r w:rsidR="008A3CDD">
        <w:rPr>
          <w:rFonts w:ascii="Arial" w:hAnsi="Arial" w:cs="Arial"/>
        </w:rPr>
        <w:t xml:space="preserve"> </w:t>
      </w:r>
      <w:r>
        <w:rPr>
          <w:rFonts w:ascii="Arial" w:hAnsi="Arial" w:cs="Arial"/>
        </w:rPr>
        <w:t>els països de la UE-2</w:t>
      </w:r>
      <w:r w:rsidR="00807AF4">
        <w:rPr>
          <w:rFonts w:ascii="Arial" w:hAnsi="Arial" w:cs="Arial"/>
        </w:rPr>
        <w:t>8</w:t>
      </w:r>
      <w:r>
        <w:rPr>
          <w:rFonts w:ascii="Arial" w:hAnsi="Arial" w:cs="Arial"/>
        </w:rPr>
        <w:t xml:space="preserve"> respon en bona part a l’actuació dels estabilitzadors econòmics automàtics pel costat dels ingressos</w:t>
      </w:r>
      <w:r>
        <w:rPr>
          <w:rStyle w:val="Refdenotaalpie"/>
          <w:rFonts w:ascii="Arial" w:hAnsi="Arial" w:cs="Arial"/>
        </w:rPr>
        <w:footnoteReference w:id="4"/>
      </w:r>
      <w:r>
        <w:rPr>
          <w:rFonts w:ascii="Arial" w:hAnsi="Arial" w:cs="Arial"/>
        </w:rPr>
        <w:t xml:space="preserve">. Catalunya, i també Espanya, destaquen per la més elevada intensitat de la caiguda de la pressió fiscal, com a conseqüència d’una dependència més gran </w:t>
      </w:r>
      <w:r w:rsidR="00F13AE4">
        <w:rPr>
          <w:rFonts w:ascii="Arial" w:hAnsi="Arial" w:cs="Arial"/>
        </w:rPr>
        <w:t>d</w:t>
      </w:r>
      <w:r>
        <w:rPr>
          <w:rFonts w:ascii="Arial" w:hAnsi="Arial" w:cs="Arial"/>
        </w:rPr>
        <w:t>els sectors més afectats per la crisi, i també per les rebaixes en la fiscalitat introduïdes pel</w:t>
      </w:r>
      <w:r w:rsidR="00552543">
        <w:rPr>
          <w:rFonts w:ascii="Arial" w:hAnsi="Arial" w:cs="Arial"/>
        </w:rPr>
        <w:t>s diferents</w:t>
      </w:r>
      <w:r w:rsidR="008A3CDD">
        <w:rPr>
          <w:rFonts w:ascii="Arial" w:hAnsi="Arial" w:cs="Arial"/>
        </w:rPr>
        <w:t xml:space="preserve"> </w:t>
      </w:r>
      <w:r w:rsidR="00F13AE4">
        <w:rPr>
          <w:rFonts w:ascii="Arial" w:hAnsi="Arial" w:cs="Arial"/>
        </w:rPr>
        <w:t>g</w:t>
      </w:r>
      <w:r>
        <w:rPr>
          <w:rFonts w:ascii="Arial" w:hAnsi="Arial" w:cs="Arial"/>
        </w:rPr>
        <w:t>overn</w:t>
      </w:r>
      <w:r w:rsidR="00552543">
        <w:rPr>
          <w:rFonts w:ascii="Arial" w:hAnsi="Arial" w:cs="Arial"/>
        </w:rPr>
        <w:t>s.</w:t>
      </w:r>
    </w:p>
    <w:p w:rsidR="00A5017E" w:rsidRDefault="00A5017E" w:rsidP="00A5017E">
      <w:pPr>
        <w:jc w:val="both"/>
        <w:rPr>
          <w:rFonts w:ascii="Arial" w:hAnsi="Arial" w:cs="Arial"/>
        </w:rPr>
      </w:pPr>
      <w:r>
        <w:rPr>
          <w:rFonts w:ascii="Arial" w:hAnsi="Arial" w:cs="Arial"/>
        </w:rPr>
        <w:t xml:space="preserve">La capacitat d’un govern per implementar polítiques </w:t>
      </w:r>
      <w:r w:rsidR="008C25C3">
        <w:rPr>
          <w:rFonts w:ascii="Arial" w:hAnsi="Arial" w:cs="Arial"/>
        </w:rPr>
        <w:t>en</w:t>
      </w:r>
      <w:r>
        <w:rPr>
          <w:rFonts w:ascii="Arial" w:hAnsi="Arial" w:cs="Arial"/>
        </w:rPr>
        <w:t xml:space="preserve"> favor de la igualtat social no depenen nomé</w:t>
      </w:r>
      <w:r w:rsidR="000E7970">
        <w:rPr>
          <w:rFonts w:ascii="Arial" w:hAnsi="Arial" w:cs="Arial"/>
        </w:rPr>
        <w:t>s del nivell d’esforç fiscal sinó</w:t>
      </w:r>
      <w:r>
        <w:rPr>
          <w:rFonts w:ascii="Arial" w:hAnsi="Arial" w:cs="Arial"/>
        </w:rPr>
        <w:t xml:space="preserve"> que també aquestes polítiques poden ésser afavorides amb estructures tributàries més progressives on la contribució impositiva depengui de forma creixent de la capacitat econòmica dels contribuents, afavorint els mecanismes de redistribució de la renda.</w:t>
      </w:r>
    </w:p>
    <w:p w:rsidR="00D8493E" w:rsidRDefault="00807AF4" w:rsidP="00A5017E">
      <w:pPr>
        <w:jc w:val="both"/>
        <w:rPr>
          <w:rFonts w:ascii="Arial" w:hAnsi="Arial" w:cs="Arial"/>
        </w:rPr>
      </w:pPr>
      <w:r>
        <w:rPr>
          <w:rFonts w:ascii="Arial" w:hAnsi="Arial" w:cs="Arial"/>
        </w:rPr>
        <w:t xml:space="preserve">En l’anterior informe </w:t>
      </w:r>
      <w:r w:rsidR="003766FD">
        <w:rPr>
          <w:rFonts w:ascii="Arial" w:hAnsi="Arial" w:cs="Arial"/>
        </w:rPr>
        <w:t xml:space="preserve">ja </w:t>
      </w:r>
      <w:r>
        <w:rPr>
          <w:rFonts w:ascii="Arial" w:hAnsi="Arial" w:cs="Arial"/>
        </w:rPr>
        <w:t>identificàvem que e</w:t>
      </w:r>
      <w:r w:rsidR="00A5017E">
        <w:rPr>
          <w:rFonts w:ascii="Arial" w:hAnsi="Arial" w:cs="Arial"/>
        </w:rPr>
        <w:t>n tots els països de la UE-2</w:t>
      </w:r>
      <w:r>
        <w:rPr>
          <w:rFonts w:ascii="Arial" w:hAnsi="Arial" w:cs="Arial"/>
        </w:rPr>
        <w:t>8</w:t>
      </w:r>
      <w:r w:rsidR="00A5017E">
        <w:rPr>
          <w:rFonts w:ascii="Arial" w:hAnsi="Arial" w:cs="Arial"/>
        </w:rPr>
        <w:t xml:space="preserve"> la majoria de la recaptació s’obté de figures tributàries de caràcter regressiu.</w:t>
      </w:r>
      <w:r w:rsidR="008A3CDD">
        <w:rPr>
          <w:rFonts w:ascii="Arial" w:hAnsi="Arial" w:cs="Arial"/>
        </w:rPr>
        <w:t xml:space="preserve"> </w:t>
      </w:r>
      <w:r w:rsidR="003766FD">
        <w:rPr>
          <w:rFonts w:ascii="Arial" w:hAnsi="Arial" w:cs="Arial"/>
        </w:rPr>
        <w:t>I que l</w:t>
      </w:r>
      <w:r w:rsidR="00A5017E">
        <w:rPr>
          <w:rFonts w:ascii="Arial" w:hAnsi="Arial" w:cs="Arial"/>
        </w:rPr>
        <w:t>’estructura tributària de Catalunya, i també d’Espanya, dep</w:t>
      </w:r>
      <w:r>
        <w:rPr>
          <w:rFonts w:ascii="Arial" w:hAnsi="Arial" w:cs="Arial"/>
        </w:rPr>
        <w:t>e</w:t>
      </w:r>
      <w:r w:rsidR="00A5017E">
        <w:rPr>
          <w:rFonts w:ascii="Arial" w:hAnsi="Arial" w:cs="Arial"/>
        </w:rPr>
        <w:t>n</w:t>
      </w:r>
      <w:r>
        <w:rPr>
          <w:rFonts w:ascii="Arial" w:hAnsi="Arial" w:cs="Arial"/>
        </w:rPr>
        <w:t>ia</w:t>
      </w:r>
      <w:r w:rsidR="00D8493E">
        <w:rPr>
          <w:rFonts w:ascii="Arial" w:hAnsi="Arial" w:cs="Arial"/>
        </w:rPr>
        <w:t xml:space="preserve"> encara</w:t>
      </w:r>
      <w:r w:rsidR="00A5017E">
        <w:rPr>
          <w:rFonts w:ascii="Arial" w:hAnsi="Arial" w:cs="Arial"/>
        </w:rPr>
        <w:t xml:space="preserve"> en més gran mesura que en la majoria de països de la UE-2</w:t>
      </w:r>
      <w:r>
        <w:rPr>
          <w:rFonts w:ascii="Arial" w:hAnsi="Arial" w:cs="Arial"/>
        </w:rPr>
        <w:t>8</w:t>
      </w:r>
      <w:r w:rsidR="008A3CDD">
        <w:rPr>
          <w:rFonts w:ascii="Arial" w:hAnsi="Arial" w:cs="Arial"/>
        </w:rPr>
        <w:t xml:space="preserve"> </w:t>
      </w:r>
      <w:r w:rsidR="00A5017E">
        <w:rPr>
          <w:rFonts w:ascii="Arial" w:hAnsi="Arial" w:cs="Arial"/>
        </w:rPr>
        <w:t>d</w:t>
      </w:r>
      <w:r w:rsidR="00D8493E">
        <w:rPr>
          <w:rFonts w:ascii="Arial" w:hAnsi="Arial" w:cs="Arial"/>
        </w:rPr>
        <w:t>e tributs de caràcter regressiu.</w:t>
      </w:r>
      <w:r w:rsidR="00A5017E">
        <w:rPr>
          <w:rFonts w:ascii="Arial" w:hAnsi="Arial" w:cs="Arial"/>
        </w:rPr>
        <w:t xml:space="preserve"> </w:t>
      </w:r>
    </w:p>
    <w:p w:rsidR="00A5017E" w:rsidRPr="00953116" w:rsidRDefault="00A5017E" w:rsidP="00A5017E">
      <w:pPr>
        <w:jc w:val="both"/>
        <w:rPr>
          <w:rFonts w:ascii="Arial" w:hAnsi="Arial" w:cs="Arial"/>
        </w:rPr>
      </w:pPr>
      <w:r w:rsidRPr="00953116">
        <w:rPr>
          <w:rFonts w:ascii="Arial" w:hAnsi="Arial" w:cs="Arial"/>
        </w:rPr>
        <w:t>En el cas de Catalunya, amb dades dels anys previs a la crisi (2004-2007), el 6</w:t>
      </w:r>
      <w:r w:rsidR="00A915ED" w:rsidRPr="00953116">
        <w:rPr>
          <w:rFonts w:ascii="Arial" w:hAnsi="Arial" w:cs="Arial"/>
        </w:rPr>
        <w:t>5</w:t>
      </w:r>
      <w:r w:rsidRPr="00953116">
        <w:rPr>
          <w:rFonts w:ascii="Arial" w:hAnsi="Arial" w:cs="Arial"/>
        </w:rPr>
        <w:t>,</w:t>
      </w:r>
      <w:r w:rsidR="00A915ED" w:rsidRPr="00953116">
        <w:rPr>
          <w:rFonts w:ascii="Arial" w:hAnsi="Arial" w:cs="Arial"/>
        </w:rPr>
        <w:t>5</w:t>
      </w:r>
      <w:r w:rsidRPr="00953116">
        <w:rPr>
          <w:rFonts w:ascii="Arial" w:hAnsi="Arial" w:cs="Arial"/>
        </w:rPr>
        <w:t>% de la recaptació tributària s’obtenia d’estructures impositives de caràcter regressiu. Així, només el 3</w:t>
      </w:r>
      <w:r w:rsidR="00A915ED" w:rsidRPr="00953116">
        <w:rPr>
          <w:rFonts w:ascii="Arial" w:hAnsi="Arial" w:cs="Arial"/>
        </w:rPr>
        <w:t>4</w:t>
      </w:r>
      <w:r w:rsidRPr="00953116">
        <w:rPr>
          <w:rFonts w:ascii="Arial" w:hAnsi="Arial" w:cs="Arial"/>
        </w:rPr>
        <w:t>,</w:t>
      </w:r>
      <w:r w:rsidR="00A915ED" w:rsidRPr="00953116">
        <w:rPr>
          <w:rFonts w:ascii="Arial" w:hAnsi="Arial" w:cs="Arial"/>
        </w:rPr>
        <w:t>5</w:t>
      </w:r>
      <w:r w:rsidRPr="00953116">
        <w:rPr>
          <w:rFonts w:ascii="Arial" w:hAnsi="Arial" w:cs="Arial"/>
        </w:rPr>
        <w:t>% de la recaptació provenia d’impostos progressius associats als impostos corrents sobre la renda i la riquesa i els impostos sobre el capital</w:t>
      </w:r>
      <w:r w:rsidRPr="00953116">
        <w:rPr>
          <w:rStyle w:val="Refdenotaalpie"/>
          <w:rFonts w:ascii="Arial" w:hAnsi="Arial" w:cs="Arial"/>
        </w:rPr>
        <w:footnoteReference w:id="5"/>
      </w:r>
      <w:r w:rsidRPr="00953116">
        <w:rPr>
          <w:rFonts w:ascii="Arial" w:hAnsi="Arial" w:cs="Arial"/>
        </w:rPr>
        <w:t>.</w:t>
      </w:r>
      <w:r w:rsidR="00A915ED" w:rsidRPr="00953116">
        <w:rPr>
          <w:rFonts w:ascii="Arial" w:hAnsi="Arial" w:cs="Arial"/>
        </w:rPr>
        <w:t xml:space="preserve"> En el cas d’Espanya aquest pes era del 32,9%</w:t>
      </w:r>
      <w:r w:rsidR="00B2349F">
        <w:rPr>
          <w:rFonts w:ascii="Arial" w:hAnsi="Arial" w:cs="Arial"/>
        </w:rPr>
        <w:t>.</w:t>
      </w:r>
    </w:p>
    <w:p w:rsidR="00A5017E" w:rsidRDefault="00A5017E" w:rsidP="00A5017E">
      <w:pPr>
        <w:jc w:val="both"/>
        <w:rPr>
          <w:rFonts w:ascii="Arial" w:hAnsi="Arial" w:cs="Arial"/>
        </w:rPr>
      </w:pPr>
      <w:r w:rsidRPr="00953116">
        <w:rPr>
          <w:rFonts w:ascii="Arial" w:hAnsi="Arial" w:cs="Arial"/>
        </w:rPr>
        <w:t xml:space="preserve">També es pot destacar que en els anys previs a l’actual crisi econòmica tant en l’economia catalana com en el conjunt de l’espanyola, 2004-2007, el pes de la tributació directe, associada als impostos sobre la renda i la riquesa i el capital, va guanyar pes relatiu en detriment tant de la imposició indirecta com de les cotitzacions a la seguretat </w:t>
      </w:r>
      <w:r w:rsidR="008458D0" w:rsidRPr="00953116">
        <w:rPr>
          <w:rFonts w:ascii="Arial" w:hAnsi="Arial" w:cs="Arial"/>
        </w:rPr>
        <w:t>social.</w:t>
      </w:r>
      <w:r w:rsidR="00953116">
        <w:rPr>
          <w:rFonts w:ascii="Arial" w:hAnsi="Arial" w:cs="Arial"/>
        </w:rPr>
        <w:t xml:space="preserve"> Al llarg dels anys de crisi s’ha revertit aquesta tendència amb una </w:t>
      </w:r>
      <w:r w:rsidR="00953116">
        <w:rPr>
          <w:rFonts w:ascii="Arial" w:hAnsi="Arial" w:cs="Arial"/>
        </w:rPr>
        <w:lastRenderedPageBreak/>
        <w:t xml:space="preserve">caiguda més acusada de la recaptació de la tributació directa que </w:t>
      </w:r>
      <w:r w:rsidR="000527C2">
        <w:rPr>
          <w:rFonts w:ascii="Arial" w:hAnsi="Arial" w:cs="Arial"/>
        </w:rPr>
        <w:t>del conjunt de figures tributàries amb un caràcter més regressiu.</w:t>
      </w:r>
    </w:p>
    <w:p w:rsidR="00A5017E" w:rsidRDefault="00A5017E" w:rsidP="00A5017E">
      <w:pPr>
        <w:jc w:val="both"/>
        <w:rPr>
          <w:rFonts w:ascii="Arial" w:hAnsi="Arial" w:cs="Arial"/>
        </w:rPr>
      </w:pPr>
      <w:r w:rsidRPr="00F05622">
        <w:rPr>
          <w:rFonts w:ascii="Arial" w:hAnsi="Arial" w:cs="Arial"/>
        </w:rPr>
        <w:t xml:space="preserve">En </w:t>
      </w:r>
      <w:r w:rsidR="004D5BEC">
        <w:rPr>
          <w:rFonts w:ascii="Arial" w:hAnsi="Arial" w:cs="Arial"/>
        </w:rPr>
        <w:t xml:space="preserve">els </w:t>
      </w:r>
      <w:r w:rsidR="008E3F37">
        <w:rPr>
          <w:rFonts w:ascii="Arial" w:hAnsi="Arial" w:cs="Arial"/>
        </w:rPr>
        <w:t>sis</w:t>
      </w:r>
      <w:r w:rsidRPr="00F05622">
        <w:rPr>
          <w:rFonts w:ascii="Arial" w:hAnsi="Arial" w:cs="Arial"/>
        </w:rPr>
        <w:t xml:space="preserve"> anys</w:t>
      </w:r>
      <w:r w:rsidR="004D5BEC">
        <w:rPr>
          <w:rFonts w:ascii="Arial" w:hAnsi="Arial" w:cs="Arial"/>
        </w:rPr>
        <w:t xml:space="preserve"> de crisi</w:t>
      </w:r>
      <w:r>
        <w:rPr>
          <w:rFonts w:ascii="Arial" w:hAnsi="Arial" w:cs="Arial"/>
        </w:rPr>
        <w:t>, 200</w:t>
      </w:r>
      <w:r w:rsidR="004D5BEC">
        <w:rPr>
          <w:rFonts w:ascii="Arial" w:hAnsi="Arial" w:cs="Arial"/>
        </w:rPr>
        <w:t>8</w:t>
      </w:r>
      <w:r>
        <w:rPr>
          <w:rFonts w:ascii="Arial" w:hAnsi="Arial" w:cs="Arial"/>
        </w:rPr>
        <w:t>-201</w:t>
      </w:r>
      <w:r w:rsidR="008E3F37">
        <w:rPr>
          <w:rFonts w:ascii="Arial" w:hAnsi="Arial" w:cs="Arial"/>
        </w:rPr>
        <w:t>3</w:t>
      </w:r>
      <w:r w:rsidR="004D5BEC">
        <w:rPr>
          <w:rFonts w:ascii="Arial" w:hAnsi="Arial" w:cs="Arial"/>
        </w:rPr>
        <w:t>,</w:t>
      </w:r>
      <w:r w:rsidRPr="00F05622">
        <w:rPr>
          <w:rFonts w:ascii="Arial" w:hAnsi="Arial" w:cs="Arial"/>
        </w:rPr>
        <w:t xml:space="preserve"> la caiguda de la pressió fiscal a Catalunya </w:t>
      </w:r>
      <w:r>
        <w:rPr>
          <w:rFonts w:ascii="Arial" w:hAnsi="Arial" w:cs="Arial"/>
        </w:rPr>
        <w:t>h</w:t>
      </w:r>
      <w:r w:rsidRPr="00F05622">
        <w:rPr>
          <w:rFonts w:ascii="Arial" w:hAnsi="Arial" w:cs="Arial"/>
        </w:rPr>
        <w:t xml:space="preserve">a recaigut principalment en la tributació directe, on es perden </w:t>
      </w:r>
      <w:r w:rsidR="00F3031C">
        <w:rPr>
          <w:rFonts w:ascii="Arial" w:hAnsi="Arial" w:cs="Arial"/>
        </w:rPr>
        <w:t>3</w:t>
      </w:r>
      <w:r w:rsidRPr="00F05622">
        <w:rPr>
          <w:rFonts w:ascii="Arial" w:hAnsi="Arial" w:cs="Arial"/>
        </w:rPr>
        <w:t>,</w:t>
      </w:r>
      <w:r w:rsidR="000527C2">
        <w:rPr>
          <w:rFonts w:ascii="Arial" w:hAnsi="Arial" w:cs="Arial"/>
        </w:rPr>
        <w:t>4</w:t>
      </w:r>
      <w:r w:rsidR="008A3CDD">
        <w:rPr>
          <w:rFonts w:ascii="Arial" w:hAnsi="Arial" w:cs="Arial"/>
        </w:rPr>
        <w:t xml:space="preserve"> </w:t>
      </w:r>
      <w:r w:rsidRPr="00F05622">
        <w:rPr>
          <w:rFonts w:ascii="Arial" w:hAnsi="Arial" w:cs="Arial"/>
        </w:rPr>
        <w:t>pp de pressió fiscal, mentr</w:t>
      </w:r>
      <w:r>
        <w:rPr>
          <w:rFonts w:ascii="Arial" w:hAnsi="Arial" w:cs="Arial"/>
        </w:rPr>
        <w:t>e que en la tributació indirecta</w:t>
      </w:r>
      <w:r w:rsidRPr="00F05622">
        <w:rPr>
          <w:rFonts w:ascii="Arial" w:hAnsi="Arial" w:cs="Arial"/>
        </w:rPr>
        <w:t xml:space="preserve"> es perden 1,</w:t>
      </w:r>
      <w:r w:rsidR="004D5BEC">
        <w:rPr>
          <w:rFonts w:ascii="Arial" w:hAnsi="Arial" w:cs="Arial"/>
        </w:rPr>
        <w:t>0</w:t>
      </w:r>
      <w:r w:rsidR="008A3CDD">
        <w:rPr>
          <w:rFonts w:ascii="Arial" w:hAnsi="Arial" w:cs="Arial"/>
        </w:rPr>
        <w:t xml:space="preserve"> </w:t>
      </w:r>
      <w:r w:rsidRPr="00F05622">
        <w:rPr>
          <w:rFonts w:ascii="Arial" w:hAnsi="Arial" w:cs="Arial"/>
        </w:rPr>
        <w:t>pp de pressió fiscal</w:t>
      </w:r>
      <w:r>
        <w:rPr>
          <w:rFonts w:ascii="Arial" w:hAnsi="Arial" w:cs="Arial"/>
        </w:rPr>
        <w:t>,</w:t>
      </w:r>
      <w:r w:rsidRPr="00F05622">
        <w:rPr>
          <w:rFonts w:ascii="Arial" w:hAnsi="Arial" w:cs="Arial"/>
        </w:rPr>
        <w:t xml:space="preserve"> i en la tributació de cotitzacions socials es perden 0,</w:t>
      </w:r>
      <w:r w:rsidR="000527C2">
        <w:rPr>
          <w:rFonts w:ascii="Arial" w:hAnsi="Arial" w:cs="Arial"/>
        </w:rPr>
        <w:t>6</w:t>
      </w:r>
      <w:r w:rsidR="008A3CDD">
        <w:rPr>
          <w:rFonts w:ascii="Arial" w:hAnsi="Arial" w:cs="Arial"/>
        </w:rPr>
        <w:t xml:space="preserve"> </w:t>
      </w:r>
      <w:r w:rsidRPr="00F05622">
        <w:rPr>
          <w:rFonts w:ascii="Arial" w:hAnsi="Arial" w:cs="Arial"/>
        </w:rPr>
        <w:t>pp de pressió fiscal.</w:t>
      </w:r>
      <w:r>
        <w:rPr>
          <w:rFonts w:ascii="Arial" w:hAnsi="Arial" w:cs="Arial"/>
        </w:rPr>
        <w:t xml:space="preserve"> En la mitjana de la UE-2</w:t>
      </w:r>
      <w:r w:rsidR="004D5BEC">
        <w:rPr>
          <w:rFonts w:ascii="Arial" w:hAnsi="Arial" w:cs="Arial"/>
        </w:rPr>
        <w:t>8</w:t>
      </w:r>
      <w:r>
        <w:rPr>
          <w:rFonts w:ascii="Arial" w:hAnsi="Arial" w:cs="Arial"/>
        </w:rPr>
        <w:t xml:space="preserve"> l’estructura impositiva s’ha mantingut relativament més estable amb una lleugera pèrdua de pes de la tributació directe, de 0,</w:t>
      </w:r>
      <w:r w:rsidR="004D5BEC">
        <w:rPr>
          <w:rFonts w:ascii="Arial" w:hAnsi="Arial" w:cs="Arial"/>
        </w:rPr>
        <w:t>3</w:t>
      </w:r>
      <w:r w:rsidR="008A3CDD">
        <w:rPr>
          <w:rFonts w:ascii="Arial" w:hAnsi="Arial" w:cs="Arial"/>
        </w:rPr>
        <w:t xml:space="preserve"> </w:t>
      </w:r>
      <w:r>
        <w:rPr>
          <w:rFonts w:ascii="Arial" w:hAnsi="Arial" w:cs="Arial"/>
        </w:rPr>
        <w:t>pp, que guany</w:t>
      </w:r>
      <w:r w:rsidR="004D5BEC">
        <w:rPr>
          <w:rFonts w:ascii="Arial" w:hAnsi="Arial" w:cs="Arial"/>
        </w:rPr>
        <w:t>en</w:t>
      </w:r>
      <w:r>
        <w:rPr>
          <w:rFonts w:ascii="Arial" w:hAnsi="Arial" w:cs="Arial"/>
        </w:rPr>
        <w:t xml:space="preserve"> la pressió</w:t>
      </w:r>
      <w:r w:rsidR="004D5BEC">
        <w:rPr>
          <w:rFonts w:ascii="Arial" w:hAnsi="Arial" w:cs="Arial"/>
        </w:rPr>
        <w:t xml:space="preserve"> fiscal en cotitzacions socials i</w:t>
      </w:r>
      <w:r>
        <w:rPr>
          <w:rFonts w:ascii="Arial" w:hAnsi="Arial" w:cs="Arial"/>
        </w:rPr>
        <w:t xml:space="preserve"> la tributació indirecta</w:t>
      </w:r>
      <w:r w:rsidR="004D5BEC">
        <w:rPr>
          <w:rFonts w:ascii="Arial" w:hAnsi="Arial" w:cs="Arial"/>
        </w:rPr>
        <w:t>, 0,7 punts percentual i 0,3 punts percentuals, respectivament</w:t>
      </w:r>
      <w:r>
        <w:rPr>
          <w:rFonts w:ascii="Arial" w:hAnsi="Arial" w:cs="Arial"/>
        </w:rPr>
        <w:t>.</w:t>
      </w:r>
      <w:bookmarkStart w:id="4" w:name="OLE_LINK33"/>
    </w:p>
    <w:p w:rsidR="00A5017E" w:rsidRPr="00E12744" w:rsidRDefault="008458D0" w:rsidP="00574DE8">
      <w:pPr>
        <w:spacing w:after="0"/>
        <w:rPr>
          <w:rFonts w:ascii="Arial" w:hAnsi="Arial" w:cs="Arial"/>
          <w:b/>
          <w:sz w:val="20"/>
          <w:szCs w:val="20"/>
        </w:rPr>
      </w:pPr>
      <w:r>
        <w:rPr>
          <w:rFonts w:ascii="Arial" w:hAnsi="Arial" w:cs="Arial"/>
          <w:b/>
          <w:sz w:val="20"/>
          <w:szCs w:val="20"/>
        </w:rPr>
        <w:t>Evolució de la p</w:t>
      </w:r>
      <w:r w:rsidR="00A5017E" w:rsidRPr="00E12744">
        <w:rPr>
          <w:rFonts w:ascii="Arial" w:hAnsi="Arial" w:cs="Arial"/>
          <w:b/>
          <w:sz w:val="20"/>
          <w:szCs w:val="20"/>
        </w:rPr>
        <w:t>ressió fiscal total. UE-2</w:t>
      </w:r>
      <w:r w:rsidR="00D019BD">
        <w:rPr>
          <w:rFonts w:ascii="Arial" w:hAnsi="Arial" w:cs="Arial"/>
          <w:b/>
          <w:sz w:val="20"/>
          <w:szCs w:val="20"/>
        </w:rPr>
        <w:t>8</w:t>
      </w:r>
      <w:r w:rsidR="00A5017E" w:rsidRPr="00E12744">
        <w:rPr>
          <w:rFonts w:ascii="Arial" w:hAnsi="Arial" w:cs="Arial"/>
          <w:b/>
          <w:sz w:val="20"/>
          <w:szCs w:val="20"/>
        </w:rPr>
        <w:t>, Espanya i Catalunya, 2007</w:t>
      </w:r>
      <w:r w:rsidR="00A5017E" w:rsidRPr="00E12744">
        <w:rPr>
          <w:rFonts w:ascii="Arial" w:hAnsi="Arial" w:cs="Arial"/>
          <w:b/>
          <w:sz w:val="20"/>
          <w:szCs w:val="20"/>
        </w:rPr>
        <w:noBreakHyphen/>
        <w:t>201</w:t>
      </w:r>
      <w:r w:rsidR="00D019BD">
        <w:rPr>
          <w:rFonts w:ascii="Arial" w:hAnsi="Arial" w:cs="Arial"/>
          <w:b/>
          <w:sz w:val="20"/>
          <w:szCs w:val="20"/>
        </w:rPr>
        <w:t>3</w:t>
      </w:r>
    </w:p>
    <w:bookmarkEnd w:id="4"/>
    <w:p w:rsidR="008458D0" w:rsidRDefault="00112DF3" w:rsidP="008458D0">
      <w:pPr>
        <w:spacing w:after="0"/>
        <w:jc w:val="both"/>
        <w:rPr>
          <w:rFonts w:ascii="Arial" w:hAnsi="Arial" w:cs="Arial"/>
          <w:sz w:val="16"/>
          <w:szCs w:val="16"/>
        </w:rPr>
      </w:pPr>
      <w:r w:rsidRPr="00112DF3">
        <w:rPr>
          <w:noProof/>
          <w:szCs w:val="16"/>
          <w:lang w:eastAsia="ca-ES"/>
        </w:rPr>
        <w:drawing>
          <wp:inline distT="0" distB="0" distL="0" distR="0">
            <wp:extent cx="5400040" cy="2885083"/>
            <wp:effectExtent l="19050" t="0" r="0" b="0"/>
            <wp:docPr id="35"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715108" w:rsidRDefault="00A5017E" w:rsidP="00715108">
      <w:pPr>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bookmarkStart w:id="5" w:name="OLE_LINK34"/>
      <w:bookmarkStart w:id="6" w:name="OLE_LINK3"/>
    </w:p>
    <w:p w:rsidR="000E7970" w:rsidRDefault="008458D0" w:rsidP="00574DE8">
      <w:pPr>
        <w:spacing w:after="0"/>
        <w:rPr>
          <w:rFonts w:ascii="Arial" w:hAnsi="Arial" w:cs="Arial"/>
          <w:b/>
          <w:sz w:val="20"/>
          <w:szCs w:val="20"/>
        </w:rPr>
      </w:pPr>
      <w:r>
        <w:rPr>
          <w:rFonts w:ascii="Arial" w:hAnsi="Arial" w:cs="Arial"/>
          <w:b/>
          <w:sz w:val="20"/>
          <w:szCs w:val="20"/>
        </w:rPr>
        <w:t>Evolució de la p</w:t>
      </w:r>
      <w:r w:rsidR="00A5017E" w:rsidRPr="00E12744">
        <w:rPr>
          <w:rFonts w:ascii="Arial" w:hAnsi="Arial" w:cs="Arial"/>
          <w:b/>
          <w:sz w:val="20"/>
          <w:szCs w:val="20"/>
        </w:rPr>
        <w:t xml:space="preserve">ressió fiscal en Impostos directes. </w:t>
      </w:r>
      <w:r w:rsidR="00E01764">
        <w:rPr>
          <w:rFonts w:ascii="Arial" w:hAnsi="Arial" w:cs="Arial"/>
          <w:b/>
          <w:sz w:val="20"/>
          <w:szCs w:val="20"/>
        </w:rPr>
        <w:t xml:space="preserve">Impostos sobre la renda, </w:t>
      </w:r>
    </w:p>
    <w:p w:rsidR="00035F53" w:rsidRPr="00E12744" w:rsidRDefault="00E01764" w:rsidP="00574DE8">
      <w:pPr>
        <w:spacing w:after="0"/>
        <w:rPr>
          <w:rFonts w:ascii="Arial" w:hAnsi="Arial" w:cs="Arial"/>
          <w:b/>
          <w:sz w:val="20"/>
          <w:szCs w:val="20"/>
        </w:rPr>
      </w:pPr>
      <w:r>
        <w:rPr>
          <w:rFonts w:ascii="Arial" w:hAnsi="Arial" w:cs="Arial"/>
          <w:b/>
          <w:sz w:val="20"/>
          <w:szCs w:val="20"/>
        </w:rPr>
        <w:t>el patrimoni i el capital (D.5 +D.91).</w:t>
      </w:r>
      <w:r w:rsidR="000E7970">
        <w:rPr>
          <w:rFonts w:ascii="Arial" w:hAnsi="Arial" w:cs="Arial"/>
          <w:b/>
          <w:sz w:val="20"/>
          <w:szCs w:val="20"/>
        </w:rPr>
        <w:t xml:space="preserve"> </w:t>
      </w:r>
      <w:r w:rsidR="00A5017E" w:rsidRPr="00E12744">
        <w:rPr>
          <w:rFonts w:ascii="Arial" w:hAnsi="Arial" w:cs="Arial"/>
          <w:b/>
          <w:sz w:val="20"/>
          <w:szCs w:val="20"/>
        </w:rPr>
        <w:t>UE-2</w:t>
      </w:r>
      <w:r w:rsidR="00D019BD">
        <w:rPr>
          <w:rFonts w:ascii="Arial" w:hAnsi="Arial" w:cs="Arial"/>
          <w:b/>
          <w:sz w:val="20"/>
          <w:szCs w:val="20"/>
        </w:rPr>
        <w:t>8, Espanya i Catalunya, 2007-2013</w:t>
      </w:r>
    </w:p>
    <w:bookmarkEnd w:id="5"/>
    <w:bookmarkEnd w:id="6"/>
    <w:p w:rsidR="008458D0" w:rsidRDefault="00112DF3" w:rsidP="008458D0">
      <w:pPr>
        <w:spacing w:after="0"/>
        <w:jc w:val="both"/>
        <w:rPr>
          <w:rFonts w:ascii="Arial" w:hAnsi="Arial" w:cs="Arial"/>
          <w:sz w:val="16"/>
          <w:szCs w:val="16"/>
        </w:rPr>
      </w:pPr>
      <w:r w:rsidRPr="00112DF3">
        <w:rPr>
          <w:noProof/>
          <w:szCs w:val="16"/>
          <w:lang w:eastAsia="ca-ES"/>
        </w:rPr>
        <w:drawing>
          <wp:inline distT="0" distB="0" distL="0" distR="0">
            <wp:extent cx="5400040" cy="2885083"/>
            <wp:effectExtent l="19050" t="0" r="0" b="0"/>
            <wp:docPr id="36"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A5017E" w:rsidRDefault="00A5017E" w:rsidP="00715108">
      <w:pPr>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bookmarkStart w:id="7" w:name="OLE_LINK35"/>
    </w:p>
    <w:p w:rsidR="006A2DD6" w:rsidRPr="00D530D3" w:rsidRDefault="006A2DD6" w:rsidP="00715108">
      <w:pPr>
        <w:rPr>
          <w:rFonts w:ascii="Arial" w:hAnsi="Arial" w:cs="Arial"/>
        </w:rPr>
      </w:pPr>
    </w:p>
    <w:p w:rsidR="00A5017E" w:rsidRPr="00E12744" w:rsidRDefault="008458D0" w:rsidP="00574DE8">
      <w:pPr>
        <w:spacing w:after="0"/>
        <w:rPr>
          <w:rFonts w:ascii="Arial" w:hAnsi="Arial" w:cs="Arial"/>
          <w:b/>
          <w:sz w:val="20"/>
          <w:szCs w:val="20"/>
        </w:rPr>
      </w:pPr>
      <w:r>
        <w:rPr>
          <w:rFonts w:ascii="Arial" w:hAnsi="Arial" w:cs="Arial"/>
          <w:b/>
          <w:sz w:val="20"/>
          <w:szCs w:val="20"/>
        </w:rPr>
        <w:t>Evolució de la p</w:t>
      </w:r>
      <w:r w:rsidR="00A5017E" w:rsidRPr="00E12744">
        <w:rPr>
          <w:rFonts w:ascii="Arial" w:hAnsi="Arial" w:cs="Arial"/>
          <w:b/>
          <w:sz w:val="20"/>
          <w:szCs w:val="20"/>
        </w:rPr>
        <w:t>ressió fiscal en Cotitzacions a la Seguretat Social.</w:t>
      </w:r>
      <w:r w:rsidR="00E01764">
        <w:rPr>
          <w:rFonts w:ascii="Arial" w:hAnsi="Arial" w:cs="Arial"/>
          <w:b/>
          <w:sz w:val="20"/>
          <w:szCs w:val="20"/>
        </w:rPr>
        <w:t xml:space="preserve"> Cotitzacions socials efectives (D.611).</w:t>
      </w:r>
      <w:r w:rsidR="00A5017E" w:rsidRPr="00E12744">
        <w:rPr>
          <w:rFonts w:ascii="Arial" w:hAnsi="Arial" w:cs="Arial"/>
          <w:b/>
          <w:sz w:val="20"/>
          <w:szCs w:val="20"/>
        </w:rPr>
        <w:t xml:space="preserve"> UE-2</w:t>
      </w:r>
      <w:r w:rsidR="00E01764">
        <w:rPr>
          <w:rFonts w:ascii="Arial" w:hAnsi="Arial" w:cs="Arial"/>
          <w:b/>
          <w:sz w:val="20"/>
          <w:szCs w:val="20"/>
        </w:rPr>
        <w:t>8</w:t>
      </w:r>
      <w:r w:rsidR="00A5017E" w:rsidRPr="00E12744">
        <w:rPr>
          <w:rFonts w:ascii="Arial" w:hAnsi="Arial" w:cs="Arial"/>
          <w:b/>
          <w:sz w:val="20"/>
          <w:szCs w:val="20"/>
        </w:rPr>
        <w:t>, Espanya i Catalunya, 2007-201</w:t>
      </w:r>
      <w:r w:rsidR="00E01764">
        <w:rPr>
          <w:rFonts w:ascii="Arial" w:hAnsi="Arial" w:cs="Arial"/>
          <w:b/>
          <w:sz w:val="20"/>
          <w:szCs w:val="20"/>
        </w:rPr>
        <w:t>3</w:t>
      </w:r>
    </w:p>
    <w:bookmarkEnd w:id="7"/>
    <w:p w:rsidR="00A5017E" w:rsidRPr="008458D0" w:rsidRDefault="000551E4" w:rsidP="00A5017E">
      <w:pPr>
        <w:spacing w:after="0"/>
        <w:jc w:val="both"/>
        <w:rPr>
          <w:rFonts w:ascii="Arial" w:hAnsi="Arial" w:cs="Arial"/>
          <w:sz w:val="16"/>
          <w:szCs w:val="16"/>
        </w:rPr>
      </w:pPr>
      <w:r w:rsidRPr="000551E4">
        <w:rPr>
          <w:noProof/>
          <w:szCs w:val="16"/>
          <w:lang w:eastAsia="ca-ES"/>
        </w:rPr>
        <w:drawing>
          <wp:inline distT="0" distB="0" distL="0" distR="0">
            <wp:extent cx="5400040" cy="2885083"/>
            <wp:effectExtent l="19050" t="0" r="0" b="0"/>
            <wp:docPr id="37"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A5017E" w:rsidRDefault="00A5017E" w:rsidP="00715108">
      <w:pPr>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p>
    <w:p w:rsidR="00715108" w:rsidRDefault="00715108" w:rsidP="00715108">
      <w:pPr>
        <w:jc w:val="both"/>
        <w:rPr>
          <w:rFonts w:ascii="Arial" w:hAnsi="Arial" w:cs="Arial"/>
          <w:sz w:val="16"/>
          <w:szCs w:val="16"/>
        </w:rPr>
      </w:pPr>
    </w:p>
    <w:p w:rsidR="00D60452" w:rsidRPr="00A83FB2" w:rsidRDefault="00D60452" w:rsidP="00715108">
      <w:pPr>
        <w:jc w:val="both"/>
        <w:rPr>
          <w:rFonts w:ascii="Arial" w:hAnsi="Arial" w:cs="Arial"/>
          <w:sz w:val="16"/>
          <w:szCs w:val="16"/>
        </w:rPr>
      </w:pPr>
    </w:p>
    <w:p w:rsidR="000E7970" w:rsidRDefault="008458D0" w:rsidP="00574DE8">
      <w:pPr>
        <w:spacing w:after="0"/>
        <w:rPr>
          <w:rFonts w:ascii="Arial" w:hAnsi="Arial" w:cs="Arial"/>
          <w:b/>
          <w:sz w:val="20"/>
          <w:szCs w:val="20"/>
        </w:rPr>
      </w:pPr>
      <w:bookmarkStart w:id="8" w:name="OLE_LINK1"/>
      <w:bookmarkStart w:id="9" w:name="OLE_LINK36"/>
      <w:r>
        <w:rPr>
          <w:rFonts w:ascii="Arial" w:hAnsi="Arial" w:cs="Arial"/>
          <w:b/>
          <w:sz w:val="20"/>
          <w:szCs w:val="20"/>
        </w:rPr>
        <w:t>Evolució de la p</w:t>
      </w:r>
      <w:r w:rsidR="00A5017E" w:rsidRPr="00E12744">
        <w:rPr>
          <w:rFonts w:ascii="Arial" w:hAnsi="Arial" w:cs="Arial"/>
          <w:b/>
          <w:sz w:val="20"/>
          <w:szCs w:val="20"/>
        </w:rPr>
        <w:t>ressió fiscal en Impostos indirectes.</w:t>
      </w:r>
      <w:r w:rsidR="00D019BD">
        <w:rPr>
          <w:rFonts w:ascii="Arial" w:hAnsi="Arial" w:cs="Arial"/>
          <w:b/>
          <w:sz w:val="20"/>
          <w:szCs w:val="20"/>
        </w:rPr>
        <w:t xml:space="preserve"> Impostos sobre la producció </w:t>
      </w:r>
    </w:p>
    <w:p w:rsidR="00A5017E" w:rsidRPr="00E12744" w:rsidRDefault="00D019BD" w:rsidP="00574DE8">
      <w:pPr>
        <w:spacing w:after="0"/>
        <w:rPr>
          <w:rFonts w:ascii="Arial" w:hAnsi="Arial" w:cs="Arial"/>
          <w:b/>
          <w:sz w:val="20"/>
          <w:szCs w:val="20"/>
        </w:rPr>
      </w:pPr>
      <w:r>
        <w:rPr>
          <w:rFonts w:ascii="Arial" w:hAnsi="Arial" w:cs="Arial"/>
          <w:b/>
          <w:sz w:val="20"/>
          <w:szCs w:val="20"/>
        </w:rPr>
        <w:t xml:space="preserve">i les importacions </w:t>
      </w:r>
      <w:r w:rsidR="00E01764">
        <w:rPr>
          <w:rFonts w:ascii="Arial" w:hAnsi="Arial" w:cs="Arial"/>
          <w:b/>
          <w:sz w:val="20"/>
          <w:szCs w:val="20"/>
        </w:rPr>
        <w:t>(</w:t>
      </w:r>
      <w:r>
        <w:rPr>
          <w:rFonts w:ascii="Arial" w:hAnsi="Arial" w:cs="Arial"/>
          <w:b/>
          <w:sz w:val="20"/>
          <w:szCs w:val="20"/>
        </w:rPr>
        <w:t>D</w:t>
      </w:r>
      <w:r w:rsidR="00E01764">
        <w:rPr>
          <w:rFonts w:ascii="Arial" w:hAnsi="Arial" w:cs="Arial"/>
          <w:b/>
          <w:sz w:val="20"/>
          <w:szCs w:val="20"/>
        </w:rPr>
        <w:t>.</w:t>
      </w:r>
      <w:r>
        <w:rPr>
          <w:rFonts w:ascii="Arial" w:hAnsi="Arial" w:cs="Arial"/>
          <w:b/>
          <w:sz w:val="20"/>
          <w:szCs w:val="20"/>
        </w:rPr>
        <w:t>2</w:t>
      </w:r>
      <w:r w:rsidR="00E01764">
        <w:rPr>
          <w:rFonts w:ascii="Arial" w:hAnsi="Arial" w:cs="Arial"/>
          <w:b/>
          <w:sz w:val="20"/>
          <w:szCs w:val="20"/>
        </w:rPr>
        <w:t>)</w:t>
      </w:r>
      <w:r>
        <w:rPr>
          <w:rFonts w:ascii="Arial" w:hAnsi="Arial" w:cs="Arial"/>
          <w:b/>
          <w:sz w:val="20"/>
          <w:szCs w:val="20"/>
        </w:rPr>
        <w:t>.</w:t>
      </w:r>
      <w:r w:rsidR="00A5017E" w:rsidRPr="00E12744">
        <w:rPr>
          <w:rFonts w:ascii="Arial" w:hAnsi="Arial" w:cs="Arial"/>
          <w:b/>
          <w:sz w:val="20"/>
          <w:szCs w:val="20"/>
        </w:rPr>
        <w:t xml:space="preserve"> UE-2</w:t>
      </w:r>
      <w:r>
        <w:rPr>
          <w:rFonts w:ascii="Arial" w:hAnsi="Arial" w:cs="Arial"/>
          <w:b/>
          <w:sz w:val="20"/>
          <w:szCs w:val="20"/>
        </w:rPr>
        <w:t>8, Espanya i Catalunya, 2007-2013</w:t>
      </w:r>
    </w:p>
    <w:bookmarkEnd w:id="8"/>
    <w:bookmarkEnd w:id="9"/>
    <w:p w:rsidR="00A5017E" w:rsidRPr="008458D0" w:rsidRDefault="000551E4" w:rsidP="00A5017E">
      <w:pPr>
        <w:spacing w:after="0"/>
        <w:jc w:val="both"/>
        <w:rPr>
          <w:rFonts w:ascii="Arial" w:hAnsi="Arial" w:cs="Arial"/>
          <w:sz w:val="16"/>
          <w:szCs w:val="16"/>
        </w:rPr>
      </w:pPr>
      <w:r w:rsidRPr="000551E4">
        <w:rPr>
          <w:noProof/>
          <w:szCs w:val="16"/>
          <w:lang w:eastAsia="ca-ES"/>
        </w:rPr>
        <w:drawing>
          <wp:inline distT="0" distB="0" distL="0" distR="0">
            <wp:extent cx="5400040" cy="2885083"/>
            <wp:effectExtent l="19050" t="0" r="0" b="0"/>
            <wp:docPr id="40"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A5017E" w:rsidRDefault="00A5017E" w:rsidP="00715108">
      <w:pPr>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p>
    <w:p w:rsidR="002B6D45" w:rsidRPr="00D530D3" w:rsidRDefault="002B6D45" w:rsidP="00715108">
      <w:pPr>
        <w:rPr>
          <w:rFonts w:ascii="Arial" w:hAnsi="Arial" w:cs="Arial"/>
        </w:rPr>
      </w:pPr>
    </w:p>
    <w:p w:rsidR="00255234" w:rsidRPr="00D530D3" w:rsidRDefault="00255234" w:rsidP="00715108">
      <w:pPr>
        <w:rPr>
          <w:rFonts w:ascii="Arial" w:hAnsi="Arial" w:cs="Arial"/>
        </w:rPr>
      </w:pPr>
    </w:p>
    <w:p w:rsidR="002B6D45" w:rsidRPr="00D530D3" w:rsidRDefault="002B6D45" w:rsidP="00715108">
      <w:pPr>
        <w:rPr>
          <w:rFonts w:ascii="Arial" w:hAnsi="Arial" w:cs="Arial"/>
        </w:rPr>
      </w:pPr>
    </w:p>
    <w:p w:rsidR="00A5017E" w:rsidRPr="008458D0" w:rsidRDefault="00A5017E" w:rsidP="00574DE8">
      <w:pPr>
        <w:spacing w:after="0"/>
        <w:rPr>
          <w:rFonts w:ascii="Arial" w:hAnsi="Arial" w:cs="Arial"/>
          <w:sz w:val="16"/>
          <w:szCs w:val="16"/>
        </w:rPr>
      </w:pPr>
      <w:r w:rsidRPr="00E12744">
        <w:rPr>
          <w:rFonts w:ascii="Arial" w:hAnsi="Arial" w:cs="Arial"/>
          <w:b/>
          <w:sz w:val="20"/>
          <w:szCs w:val="20"/>
        </w:rPr>
        <w:lastRenderedPageBreak/>
        <w:t>Pes dels impostos i les cotitzacions social</w:t>
      </w:r>
      <w:smartTag w:uri="urn:schemas-microsoft-com:office:smarttags" w:element="PersonName">
        <w:r w:rsidRPr="00E12744">
          <w:rPr>
            <w:rFonts w:ascii="Arial" w:hAnsi="Arial" w:cs="Arial"/>
            <w:b/>
            <w:sz w:val="20"/>
            <w:szCs w:val="20"/>
          </w:rPr>
          <w:t>s e</w:t>
        </w:r>
      </w:smartTag>
      <w:r w:rsidRPr="00E12744">
        <w:rPr>
          <w:rFonts w:ascii="Arial" w:hAnsi="Arial" w:cs="Arial"/>
          <w:b/>
          <w:sz w:val="20"/>
          <w:szCs w:val="20"/>
        </w:rPr>
        <w:t>fectives sobre el PIB. 2004-201</w:t>
      </w:r>
      <w:r w:rsidR="00F13BF6">
        <w:rPr>
          <w:rFonts w:ascii="Arial" w:hAnsi="Arial" w:cs="Arial"/>
          <w:b/>
          <w:sz w:val="20"/>
          <w:szCs w:val="20"/>
        </w:rPr>
        <w:t>4</w:t>
      </w:r>
      <w:r w:rsidR="00E6375B" w:rsidRPr="00E6375B">
        <w:rPr>
          <w:noProof/>
          <w:lang w:eastAsia="ca-ES"/>
        </w:rPr>
        <w:drawing>
          <wp:inline distT="0" distB="0" distL="0" distR="0">
            <wp:extent cx="5400040" cy="2947422"/>
            <wp:effectExtent l="19050" t="0" r="0" b="0"/>
            <wp:docPr id="77" name="Imat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srcRect/>
                    <a:stretch>
                      <a:fillRect/>
                    </a:stretch>
                  </pic:blipFill>
                  <pic:spPr bwMode="auto">
                    <a:xfrm>
                      <a:off x="0" y="0"/>
                      <a:ext cx="5400040" cy="2947422"/>
                    </a:xfrm>
                    <a:prstGeom prst="rect">
                      <a:avLst/>
                    </a:prstGeom>
                    <a:noFill/>
                    <a:ln w="9525">
                      <a:noFill/>
                      <a:miter lim="800000"/>
                      <a:headEnd/>
                      <a:tailEnd/>
                    </a:ln>
                  </pic:spPr>
                </pic:pic>
              </a:graphicData>
            </a:graphic>
          </wp:inline>
        </w:drawing>
      </w:r>
    </w:p>
    <w:p w:rsidR="00A5017E" w:rsidRPr="00A83FB2" w:rsidRDefault="00A5017E" w:rsidP="00715108">
      <w:pPr>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p>
    <w:p w:rsidR="00FE5F7C" w:rsidRDefault="00FE5F7C" w:rsidP="00715108">
      <w:pPr>
        <w:rPr>
          <w:rFonts w:ascii="Arial" w:hAnsi="Arial" w:cs="Arial"/>
        </w:rPr>
      </w:pPr>
      <w:bookmarkStart w:id="10" w:name="OLE_LINK2"/>
    </w:p>
    <w:p w:rsidR="00D60452" w:rsidRPr="00D530D3" w:rsidRDefault="00D60452" w:rsidP="00715108">
      <w:pPr>
        <w:rPr>
          <w:rFonts w:ascii="Arial" w:hAnsi="Arial" w:cs="Arial"/>
        </w:rPr>
      </w:pPr>
    </w:p>
    <w:p w:rsidR="00A5017E" w:rsidRPr="00E12744" w:rsidRDefault="00A5017E" w:rsidP="00574DE8">
      <w:pPr>
        <w:spacing w:after="0"/>
        <w:rPr>
          <w:rFonts w:ascii="Arial" w:hAnsi="Arial" w:cs="Arial"/>
          <w:b/>
          <w:sz w:val="20"/>
          <w:szCs w:val="20"/>
        </w:rPr>
      </w:pPr>
      <w:r w:rsidRPr="00E12744">
        <w:rPr>
          <w:rFonts w:ascii="Arial" w:hAnsi="Arial" w:cs="Arial"/>
          <w:b/>
          <w:sz w:val="20"/>
          <w:szCs w:val="20"/>
        </w:rPr>
        <w:t>Pes dels impostos sobre la renda, el patrimoni i el capital (D.5 + D.91) sobre el PIB. 2004</w:t>
      </w:r>
      <w:r w:rsidR="000E7970">
        <w:rPr>
          <w:rFonts w:ascii="Arial" w:hAnsi="Arial" w:cs="Arial"/>
          <w:b/>
          <w:sz w:val="20"/>
          <w:szCs w:val="20"/>
        </w:rPr>
        <w:noBreakHyphen/>
      </w:r>
      <w:r w:rsidRPr="00E12744">
        <w:rPr>
          <w:rFonts w:ascii="Arial" w:hAnsi="Arial" w:cs="Arial"/>
          <w:b/>
          <w:sz w:val="20"/>
          <w:szCs w:val="20"/>
        </w:rPr>
        <w:t>201</w:t>
      </w:r>
      <w:r w:rsidR="00D019BD">
        <w:rPr>
          <w:rFonts w:ascii="Arial" w:hAnsi="Arial" w:cs="Arial"/>
          <w:b/>
          <w:sz w:val="20"/>
          <w:szCs w:val="20"/>
        </w:rPr>
        <w:t>4</w:t>
      </w:r>
      <w:r w:rsidRPr="00E12744">
        <w:rPr>
          <w:rFonts w:ascii="Arial" w:hAnsi="Arial" w:cs="Arial"/>
          <w:b/>
          <w:sz w:val="20"/>
          <w:szCs w:val="20"/>
        </w:rPr>
        <w:t>. Impostos directes</w:t>
      </w:r>
      <w:bookmarkEnd w:id="10"/>
    </w:p>
    <w:p w:rsidR="00A5017E" w:rsidRPr="008458D0" w:rsidRDefault="00E6375B" w:rsidP="00A5017E">
      <w:pPr>
        <w:spacing w:after="0"/>
        <w:jc w:val="both"/>
        <w:rPr>
          <w:rFonts w:ascii="Arial" w:hAnsi="Arial" w:cs="Arial"/>
          <w:sz w:val="16"/>
          <w:szCs w:val="16"/>
        </w:rPr>
      </w:pPr>
      <w:r w:rsidRPr="00E6375B">
        <w:rPr>
          <w:noProof/>
          <w:lang w:eastAsia="ca-ES"/>
        </w:rPr>
        <w:drawing>
          <wp:inline distT="0" distB="0" distL="0" distR="0">
            <wp:extent cx="5400040" cy="2884788"/>
            <wp:effectExtent l="19050" t="0" r="0" b="0"/>
            <wp:docPr id="75" name="Imat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cstate="print"/>
                    <a:srcRect/>
                    <a:stretch>
                      <a:fillRect/>
                    </a:stretch>
                  </pic:blipFill>
                  <pic:spPr bwMode="auto">
                    <a:xfrm>
                      <a:off x="0" y="0"/>
                      <a:ext cx="5400040" cy="2884788"/>
                    </a:xfrm>
                    <a:prstGeom prst="rect">
                      <a:avLst/>
                    </a:prstGeom>
                    <a:noFill/>
                    <a:ln w="9525">
                      <a:noFill/>
                      <a:miter lim="800000"/>
                      <a:headEnd/>
                      <a:tailEnd/>
                    </a:ln>
                  </pic:spPr>
                </pic:pic>
              </a:graphicData>
            </a:graphic>
          </wp:inline>
        </w:drawing>
      </w:r>
    </w:p>
    <w:p w:rsidR="00A5017E" w:rsidRPr="00A83FB2" w:rsidRDefault="00A5017E" w:rsidP="00715108">
      <w:pPr>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p>
    <w:p w:rsidR="002B6D45" w:rsidRPr="00D530D3" w:rsidRDefault="002B6D45" w:rsidP="00715108">
      <w:pPr>
        <w:rPr>
          <w:rFonts w:ascii="Arial" w:hAnsi="Arial" w:cs="Arial"/>
        </w:rPr>
      </w:pPr>
    </w:p>
    <w:p w:rsidR="000D03AA" w:rsidRPr="00D530D3" w:rsidRDefault="000D03AA" w:rsidP="00715108">
      <w:pPr>
        <w:rPr>
          <w:rFonts w:ascii="Arial" w:hAnsi="Arial" w:cs="Arial"/>
        </w:rPr>
      </w:pPr>
    </w:p>
    <w:p w:rsidR="000D03AA" w:rsidRPr="00D530D3" w:rsidRDefault="000D03AA" w:rsidP="00715108">
      <w:pPr>
        <w:rPr>
          <w:rFonts w:ascii="Arial" w:hAnsi="Arial" w:cs="Arial"/>
        </w:rPr>
      </w:pPr>
    </w:p>
    <w:p w:rsidR="000D03AA" w:rsidRPr="00D530D3" w:rsidRDefault="000D03AA" w:rsidP="00715108">
      <w:pPr>
        <w:rPr>
          <w:rFonts w:ascii="Arial" w:hAnsi="Arial" w:cs="Arial"/>
        </w:rPr>
      </w:pPr>
    </w:p>
    <w:p w:rsidR="000D03AA" w:rsidRPr="00D530D3" w:rsidRDefault="000D03AA" w:rsidP="00715108">
      <w:pPr>
        <w:rPr>
          <w:rFonts w:ascii="Arial" w:hAnsi="Arial" w:cs="Arial"/>
        </w:rPr>
      </w:pPr>
    </w:p>
    <w:p w:rsidR="00A5017E" w:rsidRPr="00E12744" w:rsidRDefault="00A5017E" w:rsidP="00574DE8">
      <w:pPr>
        <w:spacing w:after="0"/>
        <w:rPr>
          <w:rFonts w:ascii="Arial" w:hAnsi="Arial" w:cs="Arial"/>
          <w:b/>
          <w:sz w:val="20"/>
          <w:szCs w:val="20"/>
        </w:rPr>
      </w:pPr>
      <w:r w:rsidRPr="00E12744">
        <w:rPr>
          <w:rFonts w:ascii="Arial" w:hAnsi="Arial" w:cs="Arial"/>
          <w:b/>
          <w:sz w:val="20"/>
          <w:szCs w:val="20"/>
        </w:rPr>
        <w:t>Pes de les cotitzacions socials efectives (D.611) sobre el PIB. 2004-201</w:t>
      </w:r>
      <w:r w:rsidR="00E01764">
        <w:rPr>
          <w:rFonts w:ascii="Arial" w:hAnsi="Arial" w:cs="Arial"/>
          <w:b/>
          <w:sz w:val="20"/>
          <w:szCs w:val="20"/>
        </w:rPr>
        <w:t>4</w:t>
      </w:r>
    </w:p>
    <w:p w:rsidR="00A5017E" w:rsidRPr="008458D0" w:rsidRDefault="00E6375B" w:rsidP="00A5017E">
      <w:pPr>
        <w:spacing w:after="0"/>
        <w:jc w:val="both"/>
        <w:rPr>
          <w:rFonts w:ascii="Arial" w:hAnsi="Arial" w:cs="Arial"/>
          <w:sz w:val="16"/>
          <w:szCs w:val="16"/>
        </w:rPr>
      </w:pPr>
      <w:r w:rsidRPr="00E6375B">
        <w:rPr>
          <w:noProof/>
          <w:lang w:eastAsia="ca-ES"/>
        </w:rPr>
        <w:drawing>
          <wp:inline distT="0" distB="0" distL="0" distR="0">
            <wp:extent cx="5400040" cy="2884788"/>
            <wp:effectExtent l="19050" t="0" r="0" b="0"/>
            <wp:docPr id="74" name="Imat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srcRect/>
                    <a:stretch>
                      <a:fillRect/>
                    </a:stretch>
                  </pic:blipFill>
                  <pic:spPr bwMode="auto">
                    <a:xfrm>
                      <a:off x="0" y="0"/>
                      <a:ext cx="5400040" cy="2884788"/>
                    </a:xfrm>
                    <a:prstGeom prst="rect">
                      <a:avLst/>
                    </a:prstGeom>
                    <a:noFill/>
                    <a:ln w="9525">
                      <a:noFill/>
                      <a:miter lim="800000"/>
                      <a:headEnd/>
                      <a:tailEnd/>
                    </a:ln>
                  </pic:spPr>
                </pic:pic>
              </a:graphicData>
            </a:graphic>
          </wp:inline>
        </w:drawing>
      </w:r>
    </w:p>
    <w:p w:rsidR="008458D0" w:rsidRPr="008458D0" w:rsidRDefault="00A5017E" w:rsidP="00715108">
      <w:pPr>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p>
    <w:p w:rsidR="00255234" w:rsidRPr="00D530D3" w:rsidRDefault="00255234" w:rsidP="00715108">
      <w:pPr>
        <w:rPr>
          <w:rFonts w:ascii="Arial" w:hAnsi="Arial" w:cs="Arial"/>
        </w:rPr>
      </w:pPr>
      <w:bookmarkStart w:id="11" w:name="OLE_LINK4"/>
      <w:bookmarkStart w:id="12" w:name="OLE_LINK5"/>
    </w:p>
    <w:p w:rsidR="00A5017E" w:rsidRPr="00E12744" w:rsidRDefault="00A5017E" w:rsidP="00574DE8">
      <w:pPr>
        <w:spacing w:after="0"/>
        <w:rPr>
          <w:rFonts w:ascii="Arial" w:hAnsi="Arial" w:cs="Arial"/>
          <w:b/>
          <w:sz w:val="20"/>
          <w:szCs w:val="20"/>
        </w:rPr>
      </w:pPr>
      <w:r w:rsidRPr="00E12744">
        <w:rPr>
          <w:rFonts w:ascii="Arial" w:hAnsi="Arial" w:cs="Arial"/>
          <w:b/>
          <w:sz w:val="20"/>
          <w:szCs w:val="20"/>
        </w:rPr>
        <w:t xml:space="preserve">Pes dels impostos sobre la producció i les importacions (D.2) sobre el PIB. </w:t>
      </w:r>
      <w:r w:rsidR="00D019BD">
        <w:rPr>
          <w:rFonts w:ascii="Arial" w:hAnsi="Arial" w:cs="Arial"/>
          <w:b/>
          <w:sz w:val="20"/>
          <w:szCs w:val="20"/>
        </w:rPr>
        <w:t>2004-201</w:t>
      </w:r>
      <w:r w:rsidR="00497B42">
        <w:rPr>
          <w:rFonts w:ascii="Arial" w:hAnsi="Arial" w:cs="Arial"/>
          <w:b/>
          <w:sz w:val="20"/>
          <w:szCs w:val="20"/>
        </w:rPr>
        <w:t>4</w:t>
      </w:r>
      <w:r w:rsidRPr="00E12744">
        <w:rPr>
          <w:rFonts w:ascii="Arial" w:hAnsi="Arial" w:cs="Arial"/>
          <w:b/>
          <w:sz w:val="20"/>
          <w:szCs w:val="20"/>
        </w:rPr>
        <w:t>. Impostos indirectes</w:t>
      </w:r>
    </w:p>
    <w:bookmarkEnd w:id="11"/>
    <w:bookmarkEnd w:id="12"/>
    <w:p w:rsidR="00A5017E" w:rsidRPr="0015295C" w:rsidRDefault="00E6375B" w:rsidP="00A5017E">
      <w:pPr>
        <w:spacing w:after="0"/>
        <w:jc w:val="both"/>
        <w:rPr>
          <w:rFonts w:ascii="Arial" w:hAnsi="Arial" w:cs="Arial"/>
          <w:sz w:val="16"/>
          <w:szCs w:val="16"/>
        </w:rPr>
      </w:pPr>
      <w:r w:rsidRPr="00E6375B">
        <w:rPr>
          <w:noProof/>
          <w:lang w:eastAsia="ca-ES"/>
        </w:rPr>
        <w:drawing>
          <wp:inline distT="0" distB="0" distL="0" distR="0">
            <wp:extent cx="5400040" cy="2884788"/>
            <wp:effectExtent l="19050" t="0" r="0" b="0"/>
            <wp:docPr id="76" name="Imat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srcRect/>
                    <a:stretch>
                      <a:fillRect/>
                    </a:stretch>
                  </pic:blipFill>
                  <pic:spPr bwMode="auto">
                    <a:xfrm>
                      <a:off x="0" y="0"/>
                      <a:ext cx="5400040" cy="2884788"/>
                    </a:xfrm>
                    <a:prstGeom prst="rect">
                      <a:avLst/>
                    </a:prstGeom>
                    <a:noFill/>
                    <a:ln w="9525">
                      <a:noFill/>
                      <a:miter lim="800000"/>
                      <a:headEnd/>
                      <a:tailEnd/>
                    </a:ln>
                  </pic:spPr>
                </pic:pic>
              </a:graphicData>
            </a:graphic>
          </wp:inline>
        </w:drawing>
      </w:r>
    </w:p>
    <w:p w:rsidR="00A5017E" w:rsidRPr="00A83FB2" w:rsidRDefault="00A5017E" w:rsidP="00715108">
      <w:pPr>
        <w:spacing w:line="360" w:lineRule="auto"/>
        <w:jc w:val="both"/>
        <w:rPr>
          <w:rFonts w:ascii="Arial" w:hAnsi="Arial" w:cs="Arial"/>
          <w:sz w:val="16"/>
          <w:szCs w:val="16"/>
        </w:rPr>
      </w:pPr>
      <w:r w:rsidRPr="00A83FB2">
        <w:rPr>
          <w:rFonts w:ascii="Arial" w:hAnsi="Arial" w:cs="Arial"/>
          <w:sz w:val="16"/>
          <w:szCs w:val="16"/>
        </w:rPr>
        <w:t xml:space="preserve">Font: Elaboració pròpia a partir de dades d’Eurostat, </w:t>
      </w:r>
      <w:r>
        <w:rPr>
          <w:rFonts w:ascii="Arial" w:hAnsi="Arial" w:cs="Arial"/>
          <w:sz w:val="16"/>
          <w:szCs w:val="16"/>
        </w:rPr>
        <w:t>Comptabilitat Nacional</w:t>
      </w:r>
      <w:r w:rsidRPr="00A83FB2">
        <w:rPr>
          <w:rFonts w:ascii="Arial" w:hAnsi="Arial" w:cs="Arial"/>
          <w:sz w:val="16"/>
          <w:szCs w:val="16"/>
        </w:rPr>
        <w:t xml:space="preserve"> i repercussió de la tributació en el territori.</w:t>
      </w:r>
    </w:p>
    <w:p w:rsidR="002B6D45" w:rsidRDefault="002B6D45" w:rsidP="00715108">
      <w:pPr>
        <w:pStyle w:val="Prrafodelista1"/>
        <w:spacing w:after="200" w:line="360" w:lineRule="auto"/>
        <w:ind w:left="0"/>
        <w:rPr>
          <w:rFonts w:ascii="Arial" w:hAnsi="Arial" w:cs="Arial"/>
        </w:rPr>
      </w:pPr>
    </w:p>
    <w:p w:rsidR="007E2B67" w:rsidRDefault="007E2B67" w:rsidP="00715108">
      <w:pPr>
        <w:pStyle w:val="Prrafodelista1"/>
        <w:spacing w:after="200" w:line="360" w:lineRule="auto"/>
        <w:ind w:left="0"/>
        <w:rPr>
          <w:rFonts w:ascii="Arial" w:hAnsi="Arial" w:cs="Arial"/>
        </w:rPr>
      </w:pPr>
    </w:p>
    <w:p w:rsidR="000E7970" w:rsidRDefault="000E7970" w:rsidP="00715108">
      <w:pPr>
        <w:pStyle w:val="Prrafodelista1"/>
        <w:spacing w:after="200" w:line="360" w:lineRule="auto"/>
        <w:ind w:left="0"/>
        <w:rPr>
          <w:rFonts w:ascii="Arial" w:hAnsi="Arial" w:cs="Arial"/>
        </w:rPr>
      </w:pPr>
    </w:p>
    <w:p w:rsidR="000E7970" w:rsidRDefault="000E7970" w:rsidP="00715108">
      <w:pPr>
        <w:pStyle w:val="Prrafodelista1"/>
        <w:spacing w:after="200" w:line="360" w:lineRule="auto"/>
        <w:ind w:left="0"/>
        <w:rPr>
          <w:rFonts w:ascii="Arial" w:hAnsi="Arial" w:cs="Arial"/>
        </w:rPr>
      </w:pPr>
    </w:p>
    <w:p w:rsidR="000E7970" w:rsidRPr="00D530D3" w:rsidRDefault="000E7970" w:rsidP="00715108">
      <w:pPr>
        <w:pStyle w:val="Prrafodelista1"/>
        <w:spacing w:after="200" w:line="360" w:lineRule="auto"/>
        <w:ind w:left="0"/>
        <w:rPr>
          <w:rFonts w:ascii="Arial" w:hAnsi="Arial" w:cs="Arial"/>
        </w:rPr>
      </w:pPr>
    </w:p>
    <w:p w:rsidR="009E568F" w:rsidRPr="00C63762" w:rsidRDefault="00A5017E" w:rsidP="00D530D3">
      <w:pPr>
        <w:pStyle w:val="Prrafodelista1"/>
        <w:spacing w:after="200" w:line="360" w:lineRule="auto"/>
        <w:ind w:left="426" w:hanging="426"/>
        <w:contextualSpacing w:val="0"/>
        <w:rPr>
          <w:rFonts w:ascii="Arial" w:hAnsi="Arial" w:cs="Arial"/>
          <w:b/>
          <w:sz w:val="28"/>
          <w:szCs w:val="28"/>
        </w:rPr>
      </w:pPr>
      <w:r>
        <w:rPr>
          <w:rFonts w:ascii="Arial" w:hAnsi="Arial" w:cs="Arial"/>
          <w:b/>
          <w:sz w:val="28"/>
          <w:szCs w:val="28"/>
        </w:rPr>
        <w:lastRenderedPageBreak/>
        <w:t>3</w:t>
      </w:r>
      <w:r w:rsidR="009E568F" w:rsidRPr="00C63762">
        <w:rPr>
          <w:rFonts w:ascii="Arial" w:hAnsi="Arial" w:cs="Arial"/>
          <w:b/>
          <w:sz w:val="28"/>
          <w:szCs w:val="28"/>
        </w:rPr>
        <w:t xml:space="preserve">. </w:t>
      </w:r>
      <w:r w:rsidR="003D733D">
        <w:rPr>
          <w:rFonts w:ascii="Arial" w:hAnsi="Arial" w:cs="Arial"/>
          <w:b/>
          <w:sz w:val="28"/>
          <w:szCs w:val="28"/>
        </w:rPr>
        <w:tab/>
      </w:r>
      <w:r w:rsidR="009E568F" w:rsidRPr="00C63762">
        <w:rPr>
          <w:rFonts w:ascii="Arial" w:hAnsi="Arial" w:cs="Arial"/>
          <w:b/>
          <w:sz w:val="28"/>
          <w:szCs w:val="28"/>
        </w:rPr>
        <w:t>P</w:t>
      </w:r>
      <w:r w:rsidR="00C63762" w:rsidRPr="00C63762">
        <w:rPr>
          <w:rFonts w:ascii="Arial" w:hAnsi="Arial" w:cs="Arial"/>
          <w:b/>
          <w:sz w:val="28"/>
          <w:szCs w:val="28"/>
        </w:rPr>
        <w:t>restacions socials</w:t>
      </w:r>
    </w:p>
    <w:p w:rsidR="002A7658" w:rsidRDefault="002A7658" w:rsidP="00654F96">
      <w:pPr>
        <w:pStyle w:val="Prrafodelista1"/>
        <w:spacing w:after="200" w:line="276" w:lineRule="auto"/>
        <w:ind w:left="0"/>
        <w:contextualSpacing w:val="0"/>
        <w:rPr>
          <w:rFonts w:ascii="Arial" w:hAnsi="Arial" w:cs="Arial"/>
        </w:rPr>
      </w:pPr>
      <w:r w:rsidRPr="000D4044">
        <w:rPr>
          <w:rFonts w:ascii="Arial" w:hAnsi="Arial" w:cs="Arial"/>
        </w:rPr>
        <w:t>En els últims anys, les Pensions Contributives de la Seguretat Social, de les quals les pensions de jubilació representen dues terceres parts, o s’han congelat (any 2011) o han augmentat per sota de l’increment mitjà de l’IPC. Això suposa una pèrdua continuada del poder adquisitiu dels pensionistes. En el 2014 però la relació s’ha invertit lleugerament com a resultat de l’estancament mitjà anual dels preus.</w:t>
      </w:r>
    </w:p>
    <w:p w:rsidR="002A7658" w:rsidRPr="000D4044" w:rsidRDefault="002A7658" w:rsidP="00654F96">
      <w:pPr>
        <w:pStyle w:val="Prrafodelista1"/>
        <w:spacing w:after="200" w:line="276" w:lineRule="auto"/>
        <w:ind w:left="0"/>
        <w:contextualSpacing w:val="0"/>
        <w:rPr>
          <w:rFonts w:ascii="Arial" w:hAnsi="Arial" w:cs="Arial"/>
        </w:rPr>
      </w:pPr>
      <w:r w:rsidRPr="000D4044">
        <w:rPr>
          <w:rFonts w:ascii="Arial" w:hAnsi="Arial" w:cs="Arial"/>
        </w:rPr>
        <w:t>Els beneficiaris de Pensions No Contributives de la Seguretat Social es redueixen de manera sostinguda des del 2007 fins el 2013. A partir del 2014, s’incrementen tant las persones beneficiaries de pensions d’invalidesa, com las beneficiàries de pensions no contributives de jubilació. Cal tenir en compte que les dones tenen un pes clarament superior al dels h</w:t>
      </w:r>
      <w:r w:rsidR="006C37E9">
        <w:rPr>
          <w:rFonts w:ascii="Arial" w:hAnsi="Arial" w:cs="Arial"/>
        </w:rPr>
        <w:t xml:space="preserve">omes en </w:t>
      </w:r>
      <w:r w:rsidR="003267D6">
        <w:rPr>
          <w:rFonts w:ascii="Arial" w:hAnsi="Arial" w:cs="Arial"/>
        </w:rPr>
        <w:t>les pensions no contributives mentre els homes tenen més presència en les pensions contributives.</w:t>
      </w:r>
    </w:p>
    <w:p w:rsidR="002A7658" w:rsidRPr="000D4044" w:rsidRDefault="002A7658" w:rsidP="00654F96">
      <w:pPr>
        <w:pStyle w:val="Prrafodelista1"/>
        <w:spacing w:after="200" w:line="276" w:lineRule="auto"/>
        <w:ind w:left="0"/>
        <w:contextualSpacing w:val="0"/>
        <w:rPr>
          <w:rFonts w:ascii="Arial" w:hAnsi="Arial" w:cs="Arial"/>
        </w:rPr>
      </w:pPr>
      <w:r w:rsidRPr="000D4044">
        <w:rPr>
          <w:rFonts w:ascii="Arial" w:hAnsi="Arial" w:cs="Arial"/>
        </w:rPr>
        <w:t>Pel que fa a les Prestacions per Desocupació, s’observa un creixement de beneficiaris fins el 2010, dos anys després de l’iniciï de la crisi, i una reducció continuada a partir del 2011. En el cas de la prestació contributiva d’atur, la reducció comença un any abans, el 4t trimestre del 2010, mentre que en el cas del subsidi d’atur la reducció de beneficiaris s’inicia a finals del 2011. Cal recordar que l’etapa de més intensitat pel que fa a la pèrdua d’ocupació, és la que va de finals del 2008 a finals del 2009, que la màxima durada de la prestació d’atur és de dos anys, i que s’accedeix al subsidi d’atur després d’haver exhaurit la prestació contributiva d’atur.</w:t>
      </w:r>
    </w:p>
    <w:p w:rsidR="002A7658" w:rsidRPr="000D4044" w:rsidRDefault="002A7658" w:rsidP="00654F96">
      <w:pPr>
        <w:pStyle w:val="Prrafodelista1"/>
        <w:spacing w:after="200" w:line="276" w:lineRule="auto"/>
        <w:ind w:left="0"/>
        <w:contextualSpacing w:val="0"/>
        <w:rPr>
          <w:rFonts w:ascii="Arial" w:hAnsi="Arial" w:cs="Arial"/>
        </w:rPr>
      </w:pPr>
      <w:r>
        <w:rPr>
          <w:rFonts w:ascii="Arial" w:hAnsi="Arial" w:cs="Arial"/>
        </w:rPr>
        <w:t>Segons l</w:t>
      </w:r>
      <w:r w:rsidRPr="000D4044">
        <w:rPr>
          <w:rFonts w:ascii="Arial" w:hAnsi="Arial" w:cs="Arial"/>
        </w:rPr>
        <w:t>’Enquesta de Població Activa</w:t>
      </w:r>
      <w:r>
        <w:rPr>
          <w:rFonts w:ascii="Arial" w:hAnsi="Arial" w:cs="Arial"/>
        </w:rPr>
        <w:t>, l’any 2014</w:t>
      </w:r>
      <w:r w:rsidRPr="000D4044">
        <w:rPr>
          <w:rFonts w:ascii="Arial" w:hAnsi="Arial" w:cs="Arial"/>
        </w:rPr>
        <w:t xml:space="preserve"> només un 30,9% de les persones aturades rep alguna prestació o ajuda pública,</w:t>
      </w:r>
      <w:r>
        <w:rPr>
          <w:rFonts w:ascii="Arial" w:hAnsi="Arial" w:cs="Arial"/>
        </w:rPr>
        <w:t xml:space="preserve"> l’evolució d’aquesta dada</w:t>
      </w:r>
      <w:r w:rsidRPr="000D4044">
        <w:rPr>
          <w:rFonts w:ascii="Arial" w:hAnsi="Arial" w:cs="Arial"/>
        </w:rPr>
        <w:t xml:space="preserve"> indi</w:t>
      </w:r>
      <w:r>
        <w:rPr>
          <w:rFonts w:ascii="Arial" w:hAnsi="Arial" w:cs="Arial"/>
        </w:rPr>
        <w:t>ca una reducció de la protecció</w:t>
      </w:r>
      <w:r w:rsidRPr="000D4044">
        <w:rPr>
          <w:rFonts w:ascii="Arial" w:hAnsi="Arial" w:cs="Arial"/>
        </w:rPr>
        <w:t xml:space="preserve"> a partir del 2010.</w:t>
      </w:r>
    </w:p>
    <w:p w:rsidR="002A7658" w:rsidRPr="000D4044" w:rsidRDefault="002A7658" w:rsidP="00654F96">
      <w:pPr>
        <w:pStyle w:val="Prrafodelista1"/>
        <w:spacing w:after="200" w:line="276" w:lineRule="auto"/>
        <w:ind w:left="0"/>
        <w:contextualSpacing w:val="0"/>
        <w:rPr>
          <w:rFonts w:ascii="Arial" w:hAnsi="Arial" w:cs="Arial"/>
        </w:rPr>
      </w:pPr>
      <w:r w:rsidRPr="000D4044">
        <w:rPr>
          <w:rFonts w:ascii="Arial" w:hAnsi="Arial" w:cs="Arial"/>
        </w:rPr>
        <w:t xml:space="preserve">Per la seva banda, la Renda Mínima d’Inserció presenta també una tendència a la reducció, tot i que amb algun episodi de lleuger increment, fins el 2010. En el 2013 però s’incrementen tant els expedients com l’import executat. En el 2014 continua aquest increment, </w:t>
      </w:r>
      <w:r w:rsidR="007E2B67">
        <w:rPr>
          <w:rFonts w:ascii="Arial" w:hAnsi="Arial" w:cs="Arial"/>
        </w:rPr>
        <w:t xml:space="preserve">que és </w:t>
      </w:r>
      <w:r w:rsidR="00FC7856">
        <w:rPr>
          <w:rFonts w:ascii="Arial" w:hAnsi="Arial" w:cs="Arial"/>
        </w:rPr>
        <w:t>significatiu</w:t>
      </w:r>
      <w:r w:rsidRPr="000D4044">
        <w:rPr>
          <w:rFonts w:ascii="Arial" w:hAnsi="Arial" w:cs="Arial"/>
        </w:rPr>
        <w:t xml:space="preserve"> en el cas de l’import executat</w:t>
      </w:r>
      <w:r w:rsidR="007E2B67">
        <w:rPr>
          <w:rFonts w:ascii="Arial" w:hAnsi="Arial" w:cs="Arial"/>
        </w:rPr>
        <w:t>, malgrat que encara està per sota de la situació anterior a les retallades</w:t>
      </w:r>
      <w:r w:rsidRPr="000D4044">
        <w:rPr>
          <w:rFonts w:ascii="Arial" w:hAnsi="Arial" w:cs="Arial"/>
        </w:rPr>
        <w:t>.</w:t>
      </w:r>
    </w:p>
    <w:p w:rsidR="005E7F67" w:rsidRDefault="005E7F67" w:rsidP="00654F96">
      <w:pPr>
        <w:spacing w:after="0" w:line="23" w:lineRule="atLeast"/>
        <w:rPr>
          <w:rFonts w:ascii="Arial" w:hAnsi="Arial" w:cs="Arial"/>
        </w:rPr>
      </w:pPr>
      <w:r>
        <w:rPr>
          <w:rFonts w:ascii="Arial" w:hAnsi="Arial" w:cs="Arial"/>
        </w:rPr>
        <w:br w:type="page"/>
      </w:r>
    </w:p>
    <w:p w:rsidR="002A7658" w:rsidRPr="000D4044" w:rsidRDefault="002A7658" w:rsidP="002A7658">
      <w:pPr>
        <w:spacing w:after="0" w:line="240" w:lineRule="auto"/>
        <w:jc w:val="both"/>
        <w:rPr>
          <w:rFonts w:ascii="Arial" w:hAnsi="Arial" w:cs="Arial"/>
        </w:rPr>
      </w:pPr>
    </w:p>
    <w:p w:rsidR="002A7658" w:rsidRPr="000D4044" w:rsidRDefault="002A7658" w:rsidP="00715108">
      <w:pPr>
        <w:pStyle w:val="Prrafodelista1"/>
        <w:spacing w:after="200" w:line="360" w:lineRule="auto"/>
        <w:ind w:left="0"/>
        <w:rPr>
          <w:rFonts w:ascii="Arial" w:hAnsi="Arial" w:cs="Arial"/>
          <w:b/>
        </w:rPr>
      </w:pPr>
      <w:r w:rsidRPr="000D4044">
        <w:rPr>
          <w:rFonts w:ascii="Arial" w:hAnsi="Arial" w:cs="Arial"/>
          <w:b/>
        </w:rPr>
        <w:t>3.1. Pensions contributives</w:t>
      </w:r>
    </w:p>
    <w:p w:rsidR="002A7658" w:rsidRPr="000D4044" w:rsidRDefault="002A7658" w:rsidP="00715108">
      <w:pPr>
        <w:pStyle w:val="Prrafodelista1"/>
        <w:spacing w:after="200" w:line="360" w:lineRule="auto"/>
        <w:ind w:left="0"/>
        <w:rPr>
          <w:rFonts w:ascii="Arial" w:hAnsi="Arial" w:cs="Arial"/>
        </w:rPr>
      </w:pPr>
    </w:p>
    <w:p w:rsidR="002A7658" w:rsidRPr="000D4044" w:rsidRDefault="002A7658" w:rsidP="00574DE8">
      <w:pPr>
        <w:pStyle w:val="Prrafodelista1"/>
        <w:ind w:left="0"/>
        <w:jc w:val="left"/>
        <w:rPr>
          <w:rFonts w:ascii="Arial" w:hAnsi="Arial" w:cs="Arial"/>
          <w:b/>
          <w:sz w:val="20"/>
          <w:szCs w:val="20"/>
        </w:rPr>
      </w:pPr>
      <w:r w:rsidRPr="000D4044">
        <w:rPr>
          <w:rFonts w:ascii="Arial" w:hAnsi="Arial" w:cs="Arial"/>
          <w:b/>
          <w:sz w:val="20"/>
          <w:szCs w:val="20"/>
        </w:rPr>
        <w:t>Revalorització anual de pensions i increment mitjà anual de l’IPC</w:t>
      </w:r>
    </w:p>
    <w:tbl>
      <w:tblPr>
        <w:tblW w:w="5000" w:type="pct"/>
        <w:tblBorders>
          <w:top w:val="single" w:sz="8" w:space="0" w:color="4F81BD"/>
          <w:bottom w:val="single" w:sz="8" w:space="0" w:color="4F81BD"/>
        </w:tblBorders>
        <w:tblLook w:val="04A0" w:firstRow="1" w:lastRow="0" w:firstColumn="1" w:lastColumn="0" w:noHBand="0" w:noVBand="1"/>
      </w:tblPr>
      <w:tblGrid>
        <w:gridCol w:w="2342"/>
        <w:gridCol w:w="2733"/>
        <w:gridCol w:w="3645"/>
      </w:tblGrid>
      <w:tr w:rsidR="002A7658" w:rsidRPr="000D4044" w:rsidTr="003C5F81">
        <w:trPr>
          <w:trHeight w:val="585"/>
        </w:trPr>
        <w:tc>
          <w:tcPr>
            <w:tcW w:w="1343" w:type="pct"/>
            <w:tcBorders>
              <w:top w:val="single" w:sz="8" w:space="0" w:color="4F81BD"/>
              <w:left w:val="nil"/>
              <w:bottom w:val="single" w:sz="8" w:space="0" w:color="4F81BD"/>
              <w:right w:val="nil"/>
            </w:tcBorders>
            <w:noWrap/>
            <w:vAlign w:val="center"/>
          </w:tcPr>
          <w:p w:rsidR="002A7658" w:rsidRPr="000D4044" w:rsidRDefault="002A7658" w:rsidP="003C5F81">
            <w:pPr>
              <w:spacing w:after="0" w:line="240" w:lineRule="auto"/>
              <w:rPr>
                <w:rFonts w:eastAsia="Times New Roman"/>
                <w:b/>
                <w:bCs/>
                <w:lang w:eastAsia="ca-ES"/>
              </w:rPr>
            </w:pPr>
          </w:p>
        </w:tc>
        <w:tc>
          <w:tcPr>
            <w:tcW w:w="1567" w:type="pct"/>
            <w:tcBorders>
              <w:top w:val="single" w:sz="8" w:space="0" w:color="4F81BD"/>
              <w:left w:val="nil"/>
              <w:bottom w:val="single" w:sz="8" w:space="0" w:color="4F81BD"/>
              <w:right w:val="nil"/>
            </w:tcBorders>
            <w:vAlign w:val="center"/>
          </w:tcPr>
          <w:p w:rsidR="002A7658" w:rsidRPr="000D4044" w:rsidRDefault="002A7658" w:rsidP="003C5F81">
            <w:pPr>
              <w:jc w:val="center"/>
              <w:rPr>
                <w:rFonts w:eastAsia="Times New Roman"/>
                <w:b/>
                <w:bCs/>
                <w:lang w:eastAsia="ca-ES"/>
              </w:rPr>
            </w:pPr>
            <w:r w:rsidRPr="000D4044">
              <w:rPr>
                <w:rFonts w:eastAsia="Times New Roman"/>
                <w:b/>
                <w:bCs/>
                <w:lang w:eastAsia="ca-ES"/>
              </w:rPr>
              <w:t>% revalorització de pensions</w:t>
            </w:r>
          </w:p>
        </w:tc>
        <w:tc>
          <w:tcPr>
            <w:tcW w:w="2090" w:type="pct"/>
            <w:tcBorders>
              <w:top w:val="single" w:sz="8" w:space="0" w:color="4F81BD"/>
              <w:left w:val="nil"/>
              <w:bottom w:val="single" w:sz="8" w:space="0" w:color="4F81BD"/>
              <w:right w:val="nil"/>
            </w:tcBorders>
            <w:vAlign w:val="center"/>
          </w:tcPr>
          <w:p w:rsidR="002A7658" w:rsidRPr="000D4044" w:rsidRDefault="002A7658" w:rsidP="003C5F81">
            <w:pPr>
              <w:jc w:val="center"/>
              <w:rPr>
                <w:rFonts w:eastAsia="Times New Roman"/>
                <w:b/>
                <w:bCs/>
                <w:lang w:eastAsia="ca-ES"/>
              </w:rPr>
            </w:pPr>
            <w:r w:rsidRPr="000D4044">
              <w:rPr>
                <w:rFonts w:eastAsia="Times New Roman"/>
                <w:b/>
                <w:bCs/>
                <w:lang w:eastAsia="ca-ES"/>
              </w:rPr>
              <w:t>Increment de l'IPC mitjà anual</w:t>
            </w:r>
          </w:p>
        </w:tc>
      </w:tr>
      <w:tr w:rsidR="002A7658" w:rsidRPr="000D4044" w:rsidTr="003C5F81">
        <w:trPr>
          <w:trHeight w:val="300"/>
        </w:trPr>
        <w:tc>
          <w:tcPr>
            <w:tcW w:w="1343" w:type="pct"/>
            <w:tcBorders>
              <w:left w:val="nil"/>
              <w:right w:val="nil"/>
            </w:tcBorders>
            <w:shd w:val="clear" w:color="auto" w:fill="DBE5F1"/>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2007</w:t>
            </w:r>
          </w:p>
        </w:tc>
        <w:tc>
          <w:tcPr>
            <w:tcW w:w="1567"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2%</w:t>
            </w:r>
          </w:p>
        </w:tc>
        <w:tc>
          <w:tcPr>
            <w:tcW w:w="2090"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3,0%</w:t>
            </w:r>
          </w:p>
        </w:tc>
      </w:tr>
      <w:tr w:rsidR="002A7658" w:rsidRPr="000D4044" w:rsidTr="003C5F81">
        <w:trPr>
          <w:trHeight w:val="300"/>
        </w:trPr>
        <w:tc>
          <w:tcPr>
            <w:tcW w:w="1343" w:type="pct"/>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2008</w:t>
            </w:r>
          </w:p>
        </w:tc>
        <w:tc>
          <w:tcPr>
            <w:tcW w:w="1567" w:type="pct"/>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2%</w:t>
            </w:r>
          </w:p>
        </w:tc>
        <w:tc>
          <w:tcPr>
            <w:tcW w:w="2090" w:type="pct"/>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4,1%</w:t>
            </w:r>
          </w:p>
        </w:tc>
      </w:tr>
      <w:tr w:rsidR="002A7658" w:rsidRPr="000D4044" w:rsidTr="003C5F81">
        <w:trPr>
          <w:trHeight w:val="300"/>
        </w:trPr>
        <w:tc>
          <w:tcPr>
            <w:tcW w:w="1343" w:type="pct"/>
            <w:tcBorders>
              <w:left w:val="nil"/>
              <w:right w:val="nil"/>
            </w:tcBorders>
            <w:shd w:val="clear" w:color="auto" w:fill="DBE5F1"/>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2009</w:t>
            </w:r>
          </w:p>
        </w:tc>
        <w:tc>
          <w:tcPr>
            <w:tcW w:w="1567"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2%</w:t>
            </w:r>
          </w:p>
        </w:tc>
        <w:tc>
          <w:tcPr>
            <w:tcW w:w="2090"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0,2%</w:t>
            </w:r>
          </w:p>
        </w:tc>
      </w:tr>
      <w:tr w:rsidR="002A7658" w:rsidRPr="000D4044" w:rsidTr="003C5F81">
        <w:trPr>
          <w:trHeight w:val="300"/>
        </w:trPr>
        <w:tc>
          <w:tcPr>
            <w:tcW w:w="1343" w:type="pct"/>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2010</w:t>
            </w:r>
          </w:p>
        </w:tc>
        <w:tc>
          <w:tcPr>
            <w:tcW w:w="1567" w:type="pct"/>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1%</w:t>
            </w:r>
          </w:p>
        </w:tc>
        <w:tc>
          <w:tcPr>
            <w:tcW w:w="2090" w:type="pct"/>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2,0%</w:t>
            </w:r>
          </w:p>
        </w:tc>
      </w:tr>
      <w:tr w:rsidR="002A7658" w:rsidRPr="000D4044" w:rsidTr="003C5F81">
        <w:trPr>
          <w:trHeight w:val="300"/>
        </w:trPr>
        <w:tc>
          <w:tcPr>
            <w:tcW w:w="1343" w:type="pct"/>
            <w:tcBorders>
              <w:left w:val="nil"/>
              <w:right w:val="nil"/>
            </w:tcBorders>
            <w:shd w:val="clear" w:color="auto" w:fill="DBE5F1"/>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2011</w:t>
            </w:r>
          </w:p>
        </w:tc>
        <w:tc>
          <w:tcPr>
            <w:tcW w:w="1567"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0%</w:t>
            </w:r>
          </w:p>
        </w:tc>
        <w:tc>
          <w:tcPr>
            <w:tcW w:w="2090"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3,3%</w:t>
            </w:r>
          </w:p>
        </w:tc>
      </w:tr>
      <w:tr w:rsidR="002A7658" w:rsidRPr="000D4044" w:rsidTr="003C5F81">
        <w:trPr>
          <w:trHeight w:val="300"/>
        </w:trPr>
        <w:tc>
          <w:tcPr>
            <w:tcW w:w="1343" w:type="pct"/>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2012</w:t>
            </w:r>
          </w:p>
        </w:tc>
        <w:tc>
          <w:tcPr>
            <w:tcW w:w="1567" w:type="pct"/>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1%</w:t>
            </w:r>
          </w:p>
        </w:tc>
        <w:tc>
          <w:tcPr>
            <w:tcW w:w="2090" w:type="pct"/>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2,9%</w:t>
            </w:r>
          </w:p>
        </w:tc>
      </w:tr>
      <w:tr w:rsidR="002A7658" w:rsidRPr="000D4044" w:rsidTr="003C5F81">
        <w:trPr>
          <w:trHeight w:val="300"/>
        </w:trPr>
        <w:tc>
          <w:tcPr>
            <w:tcW w:w="1343" w:type="pct"/>
            <w:tcBorders>
              <w:left w:val="nil"/>
              <w:right w:val="nil"/>
            </w:tcBorders>
            <w:shd w:val="clear" w:color="auto" w:fill="DBE5F1"/>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2013</w:t>
            </w:r>
          </w:p>
        </w:tc>
        <w:tc>
          <w:tcPr>
            <w:tcW w:w="1567"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1%</w:t>
            </w:r>
          </w:p>
        </w:tc>
        <w:tc>
          <w:tcPr>
            <w:tcW w:w="2090" w:type="pct"/>
            <w:tcBorders>
              <w:left w:val="nil"/>
              <w:right w:val="nil"/>
            </w:tcBorders>
            <w:shd w:val="clear" w:color="auto" w:fill="DBE5F1"/>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1,7%</w:t>
            </w:r>
          </w:p>
        </w:tc>
      </w:tr>
      <w:tr w:rsidR="002A7658" w:rsidRPr="000D4044" w:rsidTr="003C5F81">
        <w:trPr>
          <w:trHeight w:val="300"/>
        </w:trPr>
        <w:tc>
          <w:tcPr>
            <w:tcW w:w="1343" w:type="pct"/>
            <w:tcBorders>
              <w:left w:val="nil"/>
              <w:right w:val="nil"/>
            </w:tcBorders>
            <w:shd w:val="clear" w:color="auto" w:fill="auto"/>
            <w:noWrap/>
            <w:vAlign w:val="center"/>
          </w:tcPr>
          <w:p w:rsidR="002A7658" w:rsidRPr="000D4044" w:rsidRDefault="002A7658" w:rsidP="003C5F81">
            <w:pPr>
              <w:spacing w:after="0" w:line="240" w:lineRule="auto"/>
              <w:rPr>
                <w:rFonts w:eastAsia="Times New Roman"/>
                <w:b/>
                <w:bCs/>
                <w:lang w:eastAsia="ca-ES"/>
              </w:rPr>
            </w:pPr>
            <w:r w:rsidRPr="000D4044">
              <w:rPr>
                <w:rFonts w:eastAsia="Times New Roman"/>
                <w:b/>
                <w:bCs/>
                <w:lang w:eastAsia="ca-ES"/>
              </w:rPr>
              <w:t>2014</w:t>
            </w:r>
          </w:p>
        </w:tc>
        <w:tc>
          <w:tcPr>
            <w:tcW w:w="1567" w:type="pct"/>
            <w:tcBorders>
              <w:left w:val="nil"/>
              <w:right w:val="nil"/>
            </w:tcBorders>
            <w:shd w:val="clear" w:color="auto" w:fill="auto"/>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0,25%</w:t>
            </w:r>
          </w:p>
        </w:tc>
        <w:tc>
          <w:tcPr>
            <w:tcW w:w="2090" w:type="pct"/>
            <w:tcBorders>
              <w:left w:val="nil"/>
              <w:right w:val="nil"/>
            </w:tcBorders>
            <w:shd w:val="clear" w:color="auto" w:fill="auto"/>
            <w:noWrap/>
            <w:vAlign w:val="center"/>
          </w:tcPr>
          <w:p w:rsidR="002A7658" w:rsidRPr="000D4044" w:rsidRDefault="002A7658" w:rsidP="003C5F81">
            <w:pPr>
              <w:spacing w:after="0" w:line="240" w:lineRule="auto"/>
              <w:jc w:val="center"/>
              <w:rPr>
                <w:rFonts w:eastAsia="Times New Roman"/>
                <w:bCs/>
                <w:lang w:eastAsia="ca-ES"/>
              </w:rPr>
            </w:pPr>
            <w:r w:rsidRPr="000D4044">
              <w:rPr>
                <w:rFonts w:eastAsia="Times New Roman"/>
                <w:bCs/>
                <w:lang w:eastAsia="ca-ES"/>
              </w:rPr>
              <w:t>0,1%</w:t>
            </w:r>
          </w:p>
        </w:tc>
      </w:tr>
    </w:tbl>
    <w:p w:rsidR="002A7658" w:rsidRPr="000D4044" w:rsidRDefault="002A7658" w:rsidP="00715108">
      <w:pPr>
        <w:pStyle w:val="Prrafodelista1"/>
        <w:spacing w:after="200" w:line="360" w:lineRule="auto"/>
        <w:ind w:left="0"/>
        <w:rPr>
          <w:rFonts w:ascii="Arial" w:hAnsi="Arial" w:cs="Arial"/>
          <w:sz w:val="16"/>
          <w:szCs w:val="16"/>
        </w:rPr>
      </w:pPr>
      <w:r w:rsidRPr="000D4044">
        <w:rPr>
          <w:rFonts w:ascii="Arial" w:hAnsi="Arial" w:cs="Arial"/>
          <w:sz w:val="16"/>
          <w:szCs w:val="16"/>
        </w:rPr>
        <w:t>Font: Boletín Oficial del Estado.</w:t>
      </w:r>
    </w:p>
    <w:p w:rsidR="002A7658" w:rsidRPr="000D4044" w:rsidRDefault="002A7658" w:rsidP="00715108">
      <w:pPr>
        <w:spacing w:line="360" w:lineRule="auto"/>
        <w:jc w:val="both"/>
        <w:rPr>
          <w:rFonts w:ascii="Arial" w:hAnsi="Arial" w:cs="Arial"/>
        </w:rPr>
      </w:pPr>
    </w:p>
    <w:p w:rsidR="00574DE8" w:rsidRPr="00D530D3" w:rsidRDefault="00574DE8" w:rsidP="00574DE8">
      <w:pPr>
        <w:spacing w:after="0" w:line="240" w:lineRule="auto"/>
        <w:jc w:val="center"/>
        <w:rPr>
          <w:rFonts w:ascii="Arial" w:hAnsi="Arial" w:cs="Arial"/>
          <w:b/>
          <w:sz w:val="20"/>
          <w:szCs w:val="20"/>
        </w:rPr>
      </w:pPr>
      <w:r w:rsidRPr="00D530D3">
        <w:rPr>
          <w:rFonts w:ascii="Arial" w:hAnsi="Arial" w:cs="Arial"/>
          <w:b/>
          <w:sz w:val="20"/>
          <w:szCs w:val="20"/>
        </w:rPr>
        <w:t>Percentatge de dones beneficiàries de pensions contributives. Catalunya,</w:t>
      </w:r>
      <w:r>
        <w:rPr>
          <w:rFonts w:ascii="Arial" w:hAnsi="Arial" w:cs="Arial"/>
          <w:b/>
          <w:sz w:val="20"/>
          <w:szCs w:val="20"/>
        </w:rPr>
        <w:t xml:space="preserve"> 2013</w:t>
      </w:r>
    </w:p>
    <w:p w:rsidR="00574DE8" w:rsidRDefault="00574DE8" w:rsidP="00574DE8">
      <w:pPr>
        <w:spacing w:after="0"/>
        <w:jc w:val="center"/>
        <w:rPr>
          <w:rFonts w:ascii="Arial" w:hAnsi="Arial" w:cs="Arial"/>
        </w:rPr>
      </w:pPr>
      <w:r w:rsidRPr="00326043">
        <w:rPr>
          <w:rFonts w:ascii="Arial" w:hAnsi="Arial" w:cs="Arial"/>
          <w:noProof/>
          <w:lang w:eastAsia="ca-ES"/>
        </w:rPr>
        <w:drawing>
          <wp:inline distT="0" distB="0" distL="0" distR="0">
            <wp:extent cx="4572000" cy="2743200"/>
            <wp:effectExtent l="19050" t="0" r="1905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74DE8" w:rsidRDefault="00574DE8" w:rsidP="00574DE8">
      <w:pPr>
        <w:spacing w:after="0" w:line="240" w:lineRule="auto"/>
        <w:ind w:firstLine="709"/>
        <w:rPr>
          <w:rFonts w:ascii="Arial" w:hAnsi="Arial" w:cs="Arial"/>
          <w:sz w:val="16"/>
          <w:szCs w:val="16"/>
        </w:rPr>
      </w:pPr>
      <w:r w:rsidRPr="000D4044">
        <w:rPr>
          <w:rFonts w:ascii="Arial" w:hAnsi="Arial" w:cs="Arial"/>
          <w:sz w:val="16"/>
          <w:szCs w:val="16"/>
        </w:rPr>
        <w:t>F</w:t>
      </w:r>
      <w:r>
        <w:rPr>
          <w:rFonts w:ascii="Arial" w:hAnsi="Arial" w:cs="Arial"/>
          <w:sz w:val="16"/>
          <w:szCs w:val="16"/>
        </w:rPr>
        <w:t>ont: Informe  8 de març del 2015</w:t>
      </w:r>
      <w:r w:rsidRPr="000D4044">
        <w:rPr>
          <w:rFonts w:ascii="Arial" w:hAnsi="Arial" w:cs="Arial"/>
          <w:sz w:val="16"/>
          <w:szCs w:val="16"/>
        </w:rPr>
        <w:t xml:space="preserve"> de la Secretaria de la Dona i Cohesió Social de Comissions Obreres </w:t>
      </w:r>
    </w:p>
    <w:p w:rsidR="00574DE8" w:rsidRPr="000D4044" w:rsidRDefault="00574DE8" w:rsidP="00574DE8">
      <w:pPr>
        <w:spacing w:after="0" w:line="240" w:lineRule="auto"/>
        <w:ind w:firstLine="709"/>
        <w:rPr>
          <w:rFonts w:ascii="Arial" w:hAnsi="Arial" w:cs="Arial"/>
          <w:sz w:val="16"/>
          <w:szCs w:val="16"/>
        </w:rPr>
      </w:pPr>
      <w:r w:rsidRPr="000D4044">
        <w:rPr>
          <w:rFonts w:ascii="Arial" w:hAnsi="Arial" w:cs="Arial"/>
          <w:sz w:val="16"/>
          <w:szCs w:val="16"/>
        </w:rPr>
        <w:t>de Catalunya a partir de dades de l’IMSERSO</w:t>
      </w:r>
      <w:r>
        <w:rPr>
          <w:rFonts w:ascii="Arial" w:hAnsi="Arial" w:cs="Arial"/>
          <w:sz w:val="16"/>
          <w:szCs w:val="16"/>
        </w:rPr>
        <w:t>.</w:t>
      </w:r>
    </w:p>
    <w:p w:rsidR="002A7658" w:rsidRPr="000D4044" w:rsidRDefault="002A7658" w:rsidP="00715108">
      <w:pPr>
        <w:spacing w:line="360" w:lineRule="auto"/>
        <w:jc w:val="both"/>
        <w:rPr>
          <w:rFonts w:ascii="Arial" w:hAnsi="Arial" w:cs="Arial"/>
        </w:rPr>
      </w:pPr>
    </w:p>
    <w:p w:rsidR="005E7F67" w:rsidRDefault="005E7F67">
      <w:pPr>
        <w:spacing w:after="0" w:line="240" w:lineRule="auto"/>
        <w:rPr>
          <w:rFonts w:ascii="Arial" w:hAnsi="Arial" w:cs="Arial"/>
        </w:rPr>
      </w:pPr>
      <w:r>
        <w:rPr>
          <w:rFonts w:ascii="Arial" w:hAnsi="Arial" w:cs="Arial"/>
        </w:rPr>
        <w:br w:type="page"/>
      </w:r>
    </w:p>
    <w:p w:rsidR="002A7658" w:rsidRPr="000D4044" w:rsidRDefault="002A7658" w:rsidP="002A7658">
      <w:pPr>
        <w:spacing w:after="0" w:line="240" w:lineRule="auto"/>
        <w:jc w:val="both"/>
        <w:rPr>
          <w:rFonts w:ascii="Arial" w:hAnsi="Arial" w:cs="Arial"/>
        </w:rPr>
      </w:pPr>
    </w:p>
    <w:p w:rsidR="002A7658" w:rsidRPr="000D4044" w:rsidRDefault="002A7658" w:rsidP="00715108">
      <w:pPr>
        <w:pStyle w:val="Prrafodelista1"/>
        <w:spacing w:after="200" w:line="360" w:lineRule="auto"/>
        <w:ind w:left="0"/>
        <w:contextualSpacing w:val="0"/>
        <w:rPr>
          <w:rFonts w:ascii="Arial" w:hAnsi="Arial" w:cs="Arial"/>
          <w:b/>
        </w:rPr>
      </w:pPr>
      <w:r w:rsidRPr="000D4044">
        <w:rPr>
          <w:rFonts w:ascii="Arial" w:hAnsi="Arial" w:cs="Arial"/>
          <w:b/>
        </w:rPr>
        <w:t>3.2. Pensions no contributives</w:t>
      </w:r>
    </w:p>
    <w:p w:rsidR="002A7658" w:rsidRPr="000D4044" w:rsidRDefault="002A7658" w:rsidP="0063533B">
      <w:pPr>
        <w:pStyle w:val="Prrafodelista1"/>
        <w:ind w:left="0"/>
        <w:jc w:val="left"/>
        <w:rPr>
          <w:rFonts w:ascii="Arial" w:hAnsi="Arial" w:cs="Arial"/>
          <w:b/>
          <w:sz w:val="20"/>
          <w:szCs w:val="20"/>
        </w:rPr>
      </w:pPr>
      <w:r w:rsidRPr="000D4044">
        <w:rPr>
          <w:rFonts w:ascii="Arial" w:hAnsi="Arial" w:cs="Arial"/>
          <w:b/>
          <w:sz w:val="20"/>
          <w:szCs w:val="20"/>
        </w:rPr>
        <w:t>Beneficiaris de pensions no contributives a Catalunya</w:t>
      </w:r>
    </w:p>
    <w:tbl>
      <w:tblPr>
        <w:tblStyle w:val="Sombreadoclaro-nfasis111"/>
        <w:tblW w:w="5000" w:type="pct"/>
        <w:tblLook w:val="04A0" w:firstRow="1" w:lastRow="0" w:firstColumn="1" w:lastColumn="0" w:noHBand="0" w:noVBand="1"/>
      </w:tblPr>
      <w:tblGrid>
        <w:gridCol w:w="1542"/>
        <w:gridCol w:w="1552"/>
        <w:gridCol w:w="2088"/>
        <w:gridCol w:w="1756"/>
        <w:gridCol w:w="1782"/>
      </w:tblGrid>
      <w:tr w:rsidR="002A7658" w:rsidRPr="00910468" w:rsidTr="003C5F8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2A7658">
            <w:pPr>
              <w:spacing w:after="0" w:line="240" w:lineRule="auto"/>
              <w:rPr>
                <w:rFonts w:ascii="Arial" w:eastAsia="Times New Roman" w:hAnsi="Arial" w:cs="Arial"/>
                <w:color w:val="auto"/>
                <w:sz w:val="20"/>
                <w:szCs w:val="20"/>
                <w:lang w:eastAsia="ca-ES"/>
              </w:rPr>
            </w:pPr>
          </w:p>
        </w:tc>
        <w:tc>
          <w:tcPr>
            <w:tcW w:w="890"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Total</w:t>
            </w:r>
          </w:p>
        </w:tc>
        <w:tc>
          <w:tcPr>
            <w:tcW w:w="1197"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Invalidesa</w:t>
            </w:r>
          </w:p>
        </w:tc>
        <w:tc>
          <w:tcPr>
            <w:tcW w:w="1007"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Jubilació</w:t>
            </w:r>
          </w:p>
        </w:tc>
        <w:tc>
          <w:tcPr>
            <w:tcW w:w="1022"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LISMI</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2007</w:t>
            </w:r>
          </w:p>
        </w:tc>
        <w:tc>
          <w:tcPr>
            <w:tcW w:w="890"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58.679</w:t>
            </w:r>
          </w:p>
        </w:tc>
        <w:tc>
          <w:tcPr>
            <w:tcW w:w="119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25.450</w:t>
            </w:r>
          </w:p>
        </w:tc>
        <w:tc>
          <w:tcPr>
            <w:tcW w:w="100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33.229</w:t>
            </w:r>
          </w:p>
        </w:tc>
        <w:tc>
          <w:tcPr>
            <w:tcW w:w="1022"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2.823</w:t>
            </w:r>
          </w:p>
        </w:tc>
      </w:tr>
      <w:tr w:rsidR="002A7658" w:rsidRPr="00910468" w:rsidTr="003C5F81">
        <w:trPr>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2008</w:t>
            </w:r>
          </w:p>
        </w:tc>
        <w:tc>
          <w:tcPr>
            <w:tcW w:w="890"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57.685</w:t>
            </w:r>
          </w:p>
        </w:tc>
        <w:tc>
          <w:tcPr>
            <w:tcW w:w="119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25.032</w:t>
            </w:r>
          </w:p>
        </w:tc>
        <w:tc>
          <w:tcPr>
            <w:tcW w:w="100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32.653</w:t>
            </w:r>
          </w:p>
        </w:tc>
        <w:tc>
          <w:tcPr>
            <w:tcW w:w="1022"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2.283</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2009</w:t>
            </w:r>
          </w:p>
        </w:tc>
        <w:tc>
          <w:tcPr>
            <w:tcW w:w="890"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56.589</w:t>
            </w:r>
          </w:p>
        </w:tc>
        <w:tc>
          <w:tcPr>
            <w:tcW w:w="119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24.666</w:t>
            </w:r>
          </w:p>
        </w:tc>
        <w:tc>
          <w:tcPr>
            <w:tcW w:w="100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31.923</w:t>
            </w:r>
          </w:p>
        </w:tc>
        <w:tc>
          <w:tcPr>
            <w:tcW w:w="1022"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1.970</w:t>
            </w:r>
          </w:p>
        </w:tc>
      </w:tr>
      <w:tr w:rsidR="002A7658" w:rsidRPr="00910468" w:rsidTr="003C5F81">
        <w:trPr>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2010</w:t>
            </w:r>
          </w:p>
        </w:tc>
        <w:tc>
          <w:tcPr>
            <w:tcW w:w="890"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56.194</w:t>
            </w:r>
          </w:p>
        </w:tc>
        <w:tc>
          <w:tcPr>
            <w:tcW w:w="119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24.665</w:t>
            </w:r>
          </w:p>
        </w:tc>
        <w:tc>
          <w:tcPr>
            <w:tcW w:w="100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31.529</w:t>
            </w:r>
          </w:p>
        </w:tc>
        <w:tc>
          <w:tcPr>
            <w:tcW w:w="1022"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1.754</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2011</w:t>
            </w:r>
          </w:p>
        </w:tc>
        <w:tc>
          <w:tcPr>
            <w:tcW w:w="890"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55.905</w:t>
            </w:r>
          </w:p>
        </w:tc>
        <w:tc>
          <w:tcPr>
            <w:tcW w:w="119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24.465</w:t>
            </w:r>
          </w:p>
        </w:tc>
        <w:tc>
          <w:tcPr>
            <w:tcW w:w="100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31.440</w:t>
            </w:r>
          </w:p>
        </w:tc>
        <w:tc>
          <w:tcPr>
            <w:tcW w:w="1022"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1.547</w:t>
            </w:r>
          </w:p>
        </w:tc>
      </w:tr>
      <w:tr w:rsidR="002A7658" w:rsidRPr="00910468" w:rsidTr="003C5F81">
        <w:trPr>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2012</w:t>
            </w:r>
          </w:p>
        </w:tc>
        <w:tc>
          <w:tcPr>
            <w:tcW w:w="890"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56.012</w:t>
            </w:r>
          </w:p>
        </w:tc>
        <w:tc>
          <w:tcPr>
            <w:tcW w:w="119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24.788</w:t>
            </w:r>
          </w:p>
        </w:tc>
        <w:tc>
          <w:tcPr>
            <w:tcW w:w="100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31.224</w:t>
            </w:r>
          </w:p>
        </w:tc>
        <w:tc>
          <w:tcPr>
            <w:tcW w:w="1022"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1.344</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2013</w:t>
            </w:r>
          </w:p>
        </w:tc>
        <w:tc>
          <w:tcPr>
            <w:tcW w:w="890"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55.659</w:t>
            </w:r>
          </w:p>
        </w:tc>
        <w:tc>
          <w:tcPr>
            <w:tcW w:w="119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24.873</w:t>
            </w:r>
          </w:p>
        </w:tc>
        <w:tc>
          <w:tcPr>
            <w:tcW w:w="1007"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30.786</w:t>
            </w:r>
          </w:p>
        </w:tc>
        <w:tc>
          <w:tcPr>
            <w:tcW w:w="1022"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1.185</w:t>
            </w:r>
          </w:p>
        </w:tc>
      </w:tr>
      <w:tr w:rsidR="002A7658" w:rsidRPr="00910468" w:rsidTr="003C5F81">
        <w:trPr>
          <w:trHeight w:val="300"/>
        </w:trPr>
        <w:tc>
          <w:tcPr>
            <w:cnfStyle w:val="001000000000" w:firstRow="0" w:lastRow="0" w:firstColumn="1" w:lastColumn="0" w:oddVBand="0" w:evenVBand="0" w:oddHBand="0" w:evenHBand="0" w:firstRowFirstColumn="0" w:firstRowLastColumn="0" w:lastRowFirstColumn="0" w:lastRowLastColumn="0"/>
            <w:tcW w:w="884"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2014</w:t>
            </w:r>
          </w:p>
        </w:tc>
        <w:tc>
          <w:tcPr>
            <w:tcW w:w="890"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56.527</w:t>
            </w:r>
          </w:p>
        </w:tc>
        <w:tc>
          <w:tcPr>
            <w:tcW w:w="119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25.421</w:t>
            </w:r>
          </w:p>
        </w:tc>
        <w:tc>
          <w:tcPr>
            <w:tcW w:w="1007"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31.106</w:t>
            </w:r>
          </w:p>
        </w:tc>
        <w:tc>
          <w:tcPr>
            <w:tcW w:w="1022"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1.052</w:t>
            </w:r>
          </w:p>
        </w:tc>
      </w:tr>
    </w:tbl>
    <w:p w:rsidR="002A7658" w:rsidRPr="000D4044" w:rsidRDefault="002A7658" w:rsidP="0063533B">
      <w:pPr>
        <w:pStyle w:val="Prrafodelista1"/>
        <w:spacing w:after="200" w:line="360" w:lineRule="auto"/>
        <w:ind w:left="0"/>
        <w:rPr>
          <w:rFonts w:ascii="Arial" w:hAnsi="Arial" w:cs="Arial"/>
          <w:sz w:val="16"/>
          <w:szCs w:val="16"/>
        </w:rPr>
      </w:pPr>
      <w:r w:rsidRPr="000D4044">
        <w:rPr>
          <w:rFonts w:ascii="Arial" w:hAnsi="Arial" w:cs="Arial"/>
          <w:sz w:val="16"/>
          <w:szCs w:val="16"/>
        </w:rPr>
        <w:t>Font: Boletín de Estadísticas Laborales.</w:t>
      </w:r>
    </w:p>
    <w:p w:rsidR="002A7658" w:rsidRPr="00D530D3" w:rsidRDefault="002A7658" w:rsidP="0063533B">
      <w:pPr>
        <w:spacing w:line="360" w:lineRule="auto"/>
        <w:jc w:val="both"/>
        <w:rPr>
          <w:rFonts w:ascii="Arial" w:hAnsi="Arial" w:cs="Arial"/>
        </w:rPr>
      </w:pPr>
    </w:p>
    <w:p w:rsidR="002A7658" w:rsidRPr="00D530D3" w:rsidRDefault="002A7658" w:rsidP="0063533B">
      <w:pPr>
        <w:spacing w:after="0" w:line="240" w:lineRule="auto"/>
        <w:rPr>
          <w:rFonts w:ascii="Arial" w:hAnsi="Arial" w:cs="Arial"/>
          <w:b/>
          <w:sz w:val="20"/>
          <w:szCs w:val="20"/>
        </w:rPr>
      </w:pPr>
      <w:r w:rsidRPr="00D530D3">
        <w:rPr>
          <w:rFonts w:ascii="Arial" w:hAnsi="Arial" w:cs="Arial"/>
          <w:b/>
          <w:sz w:val="20"/>
          <w:szCs w:val="20"/>
        </w:rPr>
        <w:t>Percentatge de dones beneficiàries de pensions no contributives. Catalunya</w:t>
      </w:r>
      <w:r w:rsidR="006C37E9" w:rsidRPr="00D530D3">
        <w:rPr>
          <w:rFonts w:ascii="Arial" w:hAnsi="Arial" w:cs="Arial"/>
          <w:b/>
          <w:sz w:val="20"/>
          <w:szCs w:val="20"/>
        </w:rPr>
        <w:t>,</w:t>
      </w:r>
      <w:r w:rsidRPr="00D530D3">
        <w:rPr>
          <w:rFonts w:ascii="Arial" w:hAnsi="Arial" w:cs="Arial"/>
          <w:b/>
          <w:sz w:val="20"/>
          <w:szCs w:val="20"/>
        </w:rPr>
        <w:t xml:space="preserve"> 2014</w:t>
      </w:r>
    </w:p>
    <w:p w:rsidR="002A7658" w:rsidRPr="006C37E9" w:rsidRDefault="002A7658" w:rsidP="002A7658">
      <w:pPr>
        <w:spacing w:after="0" w:line="240" w:lineRule="auto"/>
        <w:jc w:val="both"/>
        <w:rPr>
          <w:rFonts w:ascii="Arial" w:hAnsi="Arial" w:cs="Arial"/>
          <w:sz w:val="16"/>
          <w:szCs w:val="16"/>
        </w:rPr>
      </w:pPr>
      <w:r w:rsidRPr="000D4044">
        <w:rPr>
          <w:rFonts w:ascii="Arial" w:hAnsi="Arial" w:cs="Arial"/>
          <w:b/>
          <w:noProof/>
          <w:lang w:eastAsia="ca-ES"/>
        </w:rPr>
        <w:drawing>
          <wp:inline distT="0" distB="0" distL="0" distR="0">
            <wp:extent cx="4486275" cy="2695575"/>
            <wp:effectExtent l="19050" t="0" r="9525" b="0"/>
            <wp:docPr id="88"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A7658" w:rsidRPr="000D4044" w:rsidRDefault="002A7658" w:rsidP="0063533B">
      <w:pPr>
        <w:spacing w:line="360" w:lineRule="auto"/>
        <w:jc w:val="both"/>
        <w:rPr>
          <w:rFonts w:ascii="Arial" w:hAnsi="Arial" w:cs="Arial"/>
          <w:sz w:val="16"/>
          <w:szCs w:val="16"/>
        </w:rPr>
      </w:pPr>
      <w:r w:rsidRPr="000D4044">
        <w:rPr>
          <w:rFonts w:ascii="Arial" w:hAnsi="Arial" w:cs="Arial"/>
          <w:sz w:val="16"/>
          <w:szCs w:val="16"/>
        </w:rPr>
        <w:t>Font: IMSERSO</w:t>
      </w:r>
      <w:r w:rsidR="0063533B">
        <w:rPr>
          <w:rFonts w:ascii="Arial" w:hAnsi="Arial" w:cs="Arial"/>
          <w:sz w:val="16"/>
          <w:szCs w:val="16"/>
        </w:rPr>
        <w:t>.</w:t>
      </w:r>
    </w:p>
    <w:p w:rsidR="002A7658" w:rsidRPr="000D4044" w:rsidRDefault="002A7658" w:rsidP="0063533B">
      <w:pPr>
        <w:spacing w:line="360" w:lineRule="auto"/>
        <w:jc w:val="both"/>
        <w:rPr>
          <w:rFonts w:ascii="Arial" w:hAnsi="Arial" w:cs="Arial"/>
        </w:rPr>
      </w:pPr>
    </w:p>
    <w:p w:rsidR="002A7658" w:rsidRPr="000D4044" w:rsidRDefault="002A7658" w:rsidP="002A7658">
      <w:pPr>
        <w:spacing w:after="0" w:line="240" w:lineRule="auto"/>
        <w:jc w:val="both"/>
        <w:rPr>
          <w:rFonts w:ascii="Arial" w:hAnsi="Arial" w:cs="Arial"/>
        </w:rPr>
      </w:pPr>
      <w:r w:rsidRPr="000D4044">
        <w:rPr>
          <w:rFonts w:ascii="Arial" w:hAnsi="Arial" w:cs="Arial"/>
        </w:rPr>
        <w:br w:type="page"/>
      </w:r>
    </w:p>
    <w:p w:rsidR="002A7658" w:rsidRPr="000D4044" w:rsidRDefault="002A7658" w:rsidP="0063533B">
      <w:pPr>
        <w:jc w:val="both"/>
        <w:rPr>
          <w:rFonts w:ascii="Arial" w:hAnsi="Arial" w:cs="Arial"/>
          <w:b/>
        </w:rPr>
      </w:pPr>
      <w:r w:rsidRPr="000D4044">
        <w:rPr>
          <w:rFonts w:ascii="Arial" w:hAnsi="Arial" w:cs="Arial"/>
          <w:b/>
        </w:rPr>
        <w:lastRenderedPageBreak/>
        <w:t>3.3. Prestacions per desocupació i taxa de cobertura</w:t>
      </w:r>
    </w:p>
    <w:p w:rsidR="002A7658" w:rsidRPr="000D4044" w:rsidRDefault="002A7658" w:rsidP="002A7658">
      <w:pPr>
        <w:pStyle w:val="Prrafodelista1"/>
        <w:ind w:left="0"/>
        <w:rPr>
          <w:rFonts w:ascii="Arial" w:hAnsi="Arial" w:cs="Arial"/>
          <w:b/>
          <w:sz w:val="20"/>
          <w:szCs w:val="20"/>
        </w:rPr>
      </w:pPr>
      <w:r w:rsidRPr="000D4044">
        <w:rPr>
          <w:rFonts w:ascii="Arial" w:hAnsi="Arial" w:cs="Arial"/>
          <w:b/>
          <w:sz w:val="20"/>
          <w:szCs w:val="20"/>
        </w:rPr>
        <w:t>Beneficiaris de prestacions per desocupació a Catalunya</w:t>
      </w:r>
    </w:p>
    <w:tbl>
      <w:tblPr>
        <w:tblStyle w:val="Sombreadoclaro-nfasis112"/>
        <w:tblW w:w="5000" w:type="pct"/>
        <w:jc w:val="center"/>
        <w:tblLook w:val="04A0" w:firstRow="1" w:lastRow="0" w:firstColumn="1" w:lastColumn="0" w:noHBand="0" w:noVBand="1"/>
      </w:tblPr>
      <w:tblGrid>
        <w:gridCol w:w="1156"/>
        <w:gridCol w:w="1064"/>
        <w:gridCol w:w="975"/>
        <w:gridCol w:w="913"/>
        <w:gridCol w:w="913"/>
        <w:gridCol w:w="914"/>
        <w:gridCol w:w="901"/>
        <w:gridCol w:w="943"/>
        <w:gridCol w:w="941"/>
      </w:tblGrid>
      <w:tr w:rsidR="002A7658" w:rsidRPr="00910468" w:rsidTr="003C5F81">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00" w:type="pct"/>
            <w:noWrap/>
            <w:vAlign w:val="center"/>
            <w:hideMark/>
          </w:tcPr>
          <w:p w:rsidR="002A7658" w:rsidRPr="00910468" w:rsidRDefault="002A7658" w:rsidP="002A7658">
            <w:pPr>
              <w:spacing w:after="0" w:line="240" w:lineRule="auto"/>
              <w:rPr>
                <w:rFonts w:ascii="Arial" w:eastAsia="Times New Roman" w:hAnsi="Arial" w:cs="Arial"/>
                <w:color w:val="auto"/>
                <w:sz w:val="18"/>
                <w:szCs w:val="18"/>
                <w:lang w:eastAsia="ca-ES"/>
              </w:rPr>
            </w:pPr>
          </w:p>
        </w:tc>
        <w:tc>
          <w:tcPr>
            <w:tcW w:w="461" w:type="pct"/>
            <w:noWrap/>
            <w:vAlign w:val="center"/>
            <w:hideMark/>
          </w:tcPr>
          <w:p w:rsidR="002A7658" w:rsidRPr="00910468" w:rsidRDefault="002A7658" w:rsidP="002A7658">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p>
        </w:tc>
        <w:tc>
          <w:tcPr>
            <w:tcW w:w="604"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2007</w:t>
            </w:r>
          </w:p>
        </w:tc>
        <w:tc>
          <w:tcPr>
            <w:tcW w:w="568"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2008</w:t>
            </w:r>
          </w:p>
        </w:tc>
        <w:tc>
          <w:tcPr>
            <w:tcW w:w="568"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2009</w:t>
            </w:r>
          </w:p>
        </w:tc>
        <w:tc>
          <w:tcPr>
            <w:tcW w:w="569"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2010</w:t>
            </w:r>
          </w:p>
        </w:tc>
        <w:tc>
          <w:tcPr>
            <w:tcW w:w="561"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2011</w:t>
            </w:r>
          </w:p>
        </w:tc>
        <w:tc>
          <w:tcPr>
            <w:tcW w:w="585" w:type="pct"/>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2012</w:t>
            </w:r>
          </w:p>
        </w:tc>
        <w:tc>
          <w:tcPr>
            <w:tcW w:w="585" w:type="pct"/>
            <w:vAlign w:val="center"/>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2013</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1" w:type="pct"/>
            <w:gridSpan w:val="2"/>
            <w:noWrap/>
            <w:vAlign w:val="center"/>
            <w:hideMark/>
          </w:tcPr>
          <w:p w:rsidR="002A7658" w:rsidRPr="00910468" w:rsidRDefault="002A7658" w:rsidP="003C5F81">
            <w:pPr>
              <w:spacing w:after="0" w:line="240" w:lineRule="auto"/>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Prestació d’atur</w:t>
            </w:r>
          </w:p>
        </w:tc>
        <w:tc>
          <w:tcPr>
            <w:tcW w:w="604"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147.192</w:t>
            </w:r>
          </w:p>
        </w:tc>
        <w:tc>
          <w:tcPr>
            <w:tcW w:w="568"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203.546</w:t>
            </w:r>
          </w:p>
        </w:tc>
        <w:tc>
          <w:tcPr>
            <w:tcW w:w="568"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297.951</w:t>
            </w:r>
          </w:p>
        </w:tc>
        <w:tc>
          <w:tcPr>
            <w:tcW w:w="569"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269.411</w:t>
            </w:r>
          </w:p>
        </w:tc>
        <w:tc>
          <w:tcPr>
            <w:tcW w:w="561"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239.093</w:t>
            </w:r>
          </w:p>
        </w:tc>
        <w:tc>
          <w:tcPr>
            <w:tcW w:w="585"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234.636</w:t>
            </w:r>
          </w:p>
        </w:tc>
        <w:tc>
          <w:tcPr>
            <w:tcW w:w="585" w:type="pct"/>
            <w:vAlign w:val="center"/>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215.318</w:t>
            </w:r>
          </w:p>
        </w:tc>
      </w:tr>
      <w:tr w:rsidR="002A7658" w:rsidRPr="00910468" w:rsidTr="003C5F81">
        <w:trPr>
          <w:trHeight w:val="300"/>
          <w:jc w:val="center"/>
        </w:trPr>
        <w:tc>
          <w:tcPr>
            <w:cnfStyle w:val="001000000000" w:firstRow="0" w:lastRow="0" w:firstColumn="1" w:lastColumn="0" w:oddVBand="0" w:evenVBand="0" w:oddHBand="0" w:evenHBand="0" w:firstRowFirstColumn="0" w:firstRowLastColumn="0" w:lastRowFirstColumn="0" w:lastRowLastColumn="0"/>
            <w:tcW w:w="961" w:type="pct"/>
            <w:gridSpan w:val="2"/>
            <w:noWrap/>
            <w:vAlign w:val="center"/>
            <w:hideMark/>
          </w:tcPr>
          <w:p w:rsidR="002A7658" w:rsidRPr="00910468" w:rsidRDefault="002A7658" w:rsidP="003C5F81">
            <w:pPr>
              <w:spacing w:after="0" w:line="240" w:lineRule="auto"/>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Prestació parcial</w:t>
            </w:r>
          </w:p>
        </w:tc>
        <w:tc>
          <w:tcPr>
            <w:tcW w:w="604"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w:t>
            </w:r>
          </w:p>
        </w:tc>
        <w:tc>
          <w:tcPr>
            <w:tcW w:w="568"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14</w:t>
            </w:r>
          </w:p>
        </w:tc>
        <w:tc>
          <w:tcPr>
            <w:tcW w:w="568"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152</w:t>
            </w:r>
          </w:p>
        </w:tc>
        <w:tc>
          <w:tcPr>
            <w:tcW w:w="569"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119</w:t>
            </w:r>
          </w:p>
        </w:tc>
        <w:tc>
          <w:tcPr>
            <w:tcW w:w="561"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414</w:t>
            </w:r>
          </w:p>
        </w:tc>
        <w:tc>
          <w:tcPr>
            <w:tcW w:w="585"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918</w:t>
            </w:r>
          </w:p>
        </w:tc>
        <w:tc>
          <w:tcPr>
            <w:tcW w:w="585" w:type="pct"/>
            <w:vAlign w:val="center"/>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678</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1" w:type="pct"/>
            <w:gridSpan w:val="2"/>
            <w:noWrap/>
            <w:vAlign w:val="center"/>
            <w:hideMark/>
          </w:tcPr>
          <w:p w:rsidR="002A7658" w:rsidRPr="00910468" w:rsidRDefault="002A7658" w:rsidP="003C5F81">
            <w:pPr>
              <w:spacing w:after="0" w:line="240" w:lineRule="auto"/>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Subsidi d’atur</w:t>
            </w:r>
          </w:p>
        </w:tc>
        <w:tc>
          <w:tcPr>
            <w:tcW w:w="604"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50.243</w:t>
            </w:r>
          </w:p>
        </w:tc>
        <w:tc>
          <w:tcPr>
            <w:tcW w:w="568"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61.335</w:t>
            </w:r>
          </w:p>
        </w:tc>
        <w:tc>
          <w:tcPr>
            <w:tcW w:w="568"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113.054</w:t>
            </w:r>
          </w:p>
        </w:tc>
        <w:tc>
          <w:tcPr>
            <w:tcW w:w="569"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186.179</w:t>
            </w:r>
          </w:p>
        </w:tc>
        <w:tc>
          <w:tcPr>
            <w:tcW w:w="561"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176.808</w:t>
            </w:r>
          </w:p>
        </w:tc>
        <w:tc>
          <w:tcPr>
            <w:tcW w:w="585"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173.483</w:t>
            </w:r>
          </w:p>
        </w:tc>
        <w:tc>
          <w:tcPr>
            <w:tcW w:w="585" w:type="pct"/>
            <w:vAlign w:val="center"/>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168.132</w:t>
            </w:r>
          </w:p>
        </w:tc>
      </w:tr>
      <w:tr w:rsidR="002A7658" w:rsidRPr="00910468" w:rsidTr="003C5F81">
        <w:trPr>
          <w:trHeight w:val="300"/>
          <w:jc w:val="center"/>
        </w:trPr>
        <w:tc>
          <w:tcPr>
            <w:cnfStyle w:val="001000000000" w:firstRow="0" w:lastRow="0" w:firstColumn="1" w:lastColumn="0" w:oddVBand="0" w:evenVBand="0" w:oddHBand="0" w:evenHBand="0" w:firstRowFirstColumn="0" w:firstRowLastColumn="0" w:lastRowFirstColumn="0" w:lastRowLastColumn="0"/>
            <w:tcW w:w="961" w:type="pct"/>
            <w:gridSpan w:val="2"/>
            <w:noWrap/>
            <w:vAlign w:val="center"/>
            <w:hideMark/>
          </w:tcPr>
          <w:p w:rsidR="002A7658" w:rsidRPr="00910468" w:rsidRDefault="002A7658" w:rsidP="003C5F81">
            <w:pPr>
              <w:spacing w:after="0" w:line="240" w:lineRule="auto"/>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Capitalització</w:t>
            </w:r>
          </w:p>
        </w:tc>
        <w:tc>
          <w:tcPr>
            <w:tcW w:w="604"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31.416</w:t>
            </w:r>
          </w:p>
        </w:tc>
        <w:tc>
          <w:tcPr>
            <w:tcW w:w="568"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33.848</w:t>
            </w:r>
          </w:p>
        </w:tc>
        <w:tc>
          <w:tcPr>
            <w:tcW w:w="568"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32.695</w:t>
            </w:r>
          </w:p>
        </w:tc>
        <w:tc>
          <w:tcPr>
            <w:tcW w:w="569"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32.343</w:t>
            </w:r>
          </w:p>
        </w:tc>
        <w:tc>
          <w:tcPr>
            <w:tcW w:w="561"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31.113</w:t>
            </w:r>
          </w:p>
        </w:tc>
        <w:tc>
          <w:tcPr>
            <w:tcW w:w="585"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30.259</w:t>
            </w:r>
          </w:p>
        </w:tc>
        <w:tc>
          <w:tcPr>
            <w:tcW w:w="585" w:type="pct"/>
            <w:vAlign w:val="center"/>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30.534</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961" w:type="pct"/>
            <w:gridSpan w:val="2"/>
            <w:noWrap/>
            <w:vAlign w:val="center"/>
            <w:hideMark/>
          </w:tcPr>
          <w:p w:rsidR="002A7658" w:rsidRPr="00910468" w:rsidRDefault="002A7658" w:rsidP="003C5F81">
            <w:pPr>
              <w:spacing w:after="0" w:line="240" w:lineRule="auto"/>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Renda activa d'inserció</w:t>
            </w:r>
          </w:p>
        </w:tc>
        <w:tc>
          <w:tcPr>
            <w:tcW w:w="604"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2.324</w:t>
            </w:r>
          </w:p>
        </w:tc>
        <w:tc>
          <w:tcPr>
            <w:tcW w:w="568"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2.718</w:t>
            </w:r>
          </w:p>
        </w:tc>
        <w:tc>
          <w:tcPr>
            <w:tcW w:w="568"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4.792</w:t>
            </w:r>
          </w:p>
        </w:tc>
        <w:tc>
          <w:tcPr>
            <w:tcW w:w="569"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7.860</w:t>
            </w:r>
          </w:p>
        </w:tc>
        <w:tc>
          <w:tcPr>
            <w:tcW w:w="561"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15.532</w:t>
            </w:r>
          </w:p>
        </w:tc>
        <w:tc>
          <w:tcPr>
            <w:tcW w:w="585" w:type="pct"/>
            <w:noWrap/>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23.485</w:t>
            </w:r>
          </w:p>
        </w:tc>
        <w:tc>
          <w:tcPr>
            <w:tcW w:w="585" w:type="pct"/>
            <w:vAlign w:val="center"/>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27.396</w:t>
            </w:r>
          </w:p>
        </w:tc>
      </w:tr>
      <w:tr w:rsidR="002A7658" w:rsidRPr="00910468" w:rsidTr="003C5F81">
        <w:trPr>
          <w:trHeight w:val="332"/>
          <w:jc w:val="center"/>
        </w:trPr>
        <w:tc>
          <w:tcPr>
            <w:cnfStyle w:val="001000000000" w:firstRow="0" w:lastRow="0" w:firstColumn="1" w:lastColumn="0" w:oddVBand="0" w:evenVBand="0" w:oddHBand="0" w:evenHBand="0" w:firstRowFirstColumn="0" w:firstRowLastColumn="0" w:lastRowFirstColumn="0" w:lastRowLastColumn="0"/>
            <w:tcW w:w="500" w:type="pct"/>
            <w:noWrap/>
            <w:vAlign w:val="center"/>
            <w:hideMark/>
          </w:tcPr>
          <w:p w:rsidR="002A7658" w:rsidRPr="00910468" w:rsidRDefault="002A7658" w:rsidP="003C5F81">
            <w:pPr>
              <w:spacing w:after="0" w:line="240" w:lineRule="auto"/>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Total</w:t>
            </w:r>
          </w:p>
        </w:tc>
        <w:tc>
          <w:tcPr>
            <w:tcW w:w="461" w:type="pct"/>
            <w:noWrap/>
            <w:hideMark/>
          </w:tcPr>
          <w:p w:rsidR="002A7658" w:rsidRPr="00910468" w:rsidRDefault="002A7658" w:rsidP="002A7658">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p>
        </w:tc>
        <w:tc>
          <w:tcPr>
            <w:tcW w:w="604"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231.177</w:t>
            </w:r>
          </w:p>
        </w:tc>
        <w:tc>
          <w:tcPr>
            <w:tcW w:w="568"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301.461</w:t>
            </w:r>
          </w:p>
        </w:tc>
        <w:tc>
          <w:tcPr>
            <w:tcW w:w="568"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448.645</w:t>
            </w:r>
          </w:p>
        </w:tc>
        <w:tc>
          <w:tcPr>
            <w:tcW w:w="569"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495.912</w:t>
            </w:r>
          </w:p>
        </w:tc>
        <w:tc>
          <w:tcPr>
            <w:tcW w:w="561"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462.960</w:t>
            </w:r>
          </w:p>
        </w:tc>
        <w:tc>
          <w:tcPr>
            <w:tcW w:w="585" w:type="pct"/>
            <w:noWrap/>
            <w:vAlign w:val="center"/>
            <w:hideMark/>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462.781</w:t>
            </w:r>
          </w:p>
        </w:tc>
        <w:tc>
          <w:tcPr>
            <w:tcW w:w="585" w:type="pct"/>
            <w:vAlign w:val="center"/>
          </w:tcPr>
          <w:p w:rsidR="002A7658" w:rsidRPr="00910468" w:rsidRDefault="002A7658" w:rsidP="003C5F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ca-ES"/>
              </w:rPr>
            </w:pPr>
            <w:r w:rsidRPr="00910468">
              <w:rPr>
                <w:rFonts w:ascii="Arial" w:eastAsia="Times New Roman" w:hAnsi="Arial" w:cs="Arial"/>
                <w:color w:val="auto"/>
                <w:sz w:val="18"/>
                <w:szCs w:val="18"/>
                <w:lang w:eastAsia="ca-ES"/>
              </w:rPr>
              <w:t>442.058</w:t>
            </w:r>
          </w:p>
        </w:tc>
      </w:tr>
    </w:tbl>
    <w:p w:rsidR="002A7658" w:rsidRPr="000D4044" w:rsidRDefault="002A7658" w:rsidP="0063533B">
      <w:pPr>
        <w:pStyle w:val="Prrafodelista1"/>
        <w:spacing w:after="200" w:line="360" w:lineRule="auto"/>
        <w:ind w:left="0"/>
        <w:rPr>
          <w:rFonts w:ascii="Arial" w:hAnsi="Arial" w:cs="Arial"/>
          <w:sz w:val="16"/>
          <w:szCs w:val="16"/>
        </w:rPr>
      </w:pPr>
      <w:r w:rsidRPr="000D4044">
        <w:rPr>
          <w:rFonts w:ascii="Arial" w:hAnsi="Arial" w:cs="Arial"/>
          <w:sz w:val="16"/>
          <w:szCs w:val="16"/>
        </w:rPr>
        <w:t>Font: Boletín de Estadísticas Laborales.</w:t>
      </w:r>
    </w:p>
    <w:p w:rsidR="002A7658" w:rsidRPr="000D4044" w:rsidRDefault="002A7658" w:rsidP="0063533B">
      <w:pPr>
        <w:spacing w:line="360" w:lineRule="auto"/>
        <w:jc w:val="both"/>
        <w:rPr>
          <w:rFonts w:ascii="Arial" w:hAnsi="Arial" w:cs="Arial"/>
        </w:rPr>
      </w:pPr>
    </w:p>
    <w:p w:rsidR="002A7658" w:rsidRPr="000D4044" w:rsidRDefault="002A7658" w:rsidP="002A7658">
      <w:pPr>
        <w:pStyle w:val="Prrafodelista1"/>
        <w:ind w:left="0"/>
        <w:rPr>
          <w:rFonts w:ascii="Arial" w:hAnsi="Arial" w:cs="Arial"/>
          <w:b/>
          <w:sz w:val="20"/>
          <w:szCs w:val="20"/>
        </w:rPr>
      </w:pPr>
      <w:r w:rsidRPr="000D4044">
        <w:rPr>
          <w:rFonts w:ascii="Arial" w:hAnsi="Arial" w:cs="Arial"/>
          <w:b/>
          <w:sz w:val="20"/>
          <w:szCs w:val="20"/>
        </w:rPr>
        <w:t>Taxa de cobertura de la prestació d’atur a Catalunya</w:t>
      </w:r>
    </w:p>
    <w:p w:rsidR="002A7658" w:rsidRPr="000D4044" w:rsidRDefault="002A7658" w:rsidP="002A7658">
      <w:pPr>
        <w:spacing w:after="0"/>
        <w:jc w:val="both"/>
        <w:rPr>
          <w:rFonts w:ascii="Arial" w:hAnsi="Arial" w:cs="Arial"/>
        </w:rPr>
      </w:pPr>
      <w:r w:rsidRPr="000D4044">
        <w:rPr>
          <w:rFonts w:ascii="Arial" w:hAnsi="Arial" w:cs="Arial"/>
          <w:noProof/>
          <w:lang w:eastAsia="ca-ES"/>
        </w:rPr>
        <w:drawing>
          <wp:inline distT="0" distB="0" distL="0" distR="0">
            <wp:extent cx="4467225" cy="2628900"/>
            <wp:effectExtent l="19050" t="0" r="9525"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5" cstate="print"/>
                    <a:srcRect/>
                    <a:stretch>
                      <a:fillRect/>
                    </a:stretch>
                  </pic:blipFill>
                  <pic:spPr bwMode="auto">
                    <a:xfrm>
                      <a:off x="0" y="0"/>
                      <a:ext cx="4467225" cy="2628900"/>
                    </a:xfrm>
                    <a:prstGeom prst="rect">
                      <a:avLst/>
                    </a:prstGeom>
                    <a:noFill/>
                    <a:ln w="9525">
                      <a:noFill/>
                      <a:miter lim="800000"/>
                      <a:headEnd/>
                      <a:tailEnd/>
                    </a:ln>
                  </pic:spPr>
                </pic:pic>
              </a:graphicData>
            </a:graphic>
          </wp:inline>
        </w:drawing>
      </w:r>
    </w:p>
    <w:p w:rsidR="002A7658" w:rsidRPr="000D4044" w:rsidRDefault="002A7658" w:rsidP="0063533B">
      <w:pPr>
        <w:spacing w:line="360" w:lineRule="auto"/>
        <w:jc w:val="both"/>
        <w:rPr>
          <w:rFonts w:ascii="Arial" w:hAnsi="Arial" w:cs="Arial"/>
        </w:rPr>
      </w:pPr>
      <w:r w:rsidRPr="000D4044">
        <w:rPr>
          <w:rFonts w:ascii="Arial" w:hAnsi="Arial" w:cs="Arial"/>
          <w:sz w:val="16"/>
          <w:szCs w:val="16"/>
        </w:rPr>
        <w:t>Font: Servicio Público de Empleo Estatal.</w:t>
      </w:r>
    </w:p>
    <w:p w:rsidR="002A7658" w:rsidRPr="000D4044" w:rsidRDefault="002A7658" w:rsidP="0063533B">
      <w:pPr>
        <w:spacing w:line="360" w:lineRule="auto"/>
        <w:jc w:val="both"/>
        <w:rPr>
          <w:rFonts w:ascii="Arial" w:hAnsi="Arial" w:cs="Arial"/>
        </w:rPr>
      </w:pPr>
    </w:p>
    <w:p w:rsidR="002A7658" w:rsidRPr="000D4044" w:rsidRDefault="002A7658" w:rsidP="002A7658">
      <w:pPr>
        <w:spacing w:after="0" w:line="240" w:lineRule="auto"/>
        <w:jc w:val="both"/>
        <w:rPr>
          <w:rFonts w:ascii="Arial" w:hAnsi="Arial" w:cs="Arial"/>
        </w:rPr>
      </w:pPr>
      <w:r w:rsidRPr="000D4044">
        <w:rPr>
          <w:rFonts w:ascii="Arial" w:hAnsi="Arial" w:cs="Arial"/>
        </w:rPr>
        <w:br w:type="page"/>
      </w:r>
    </w:p>
    <w:p w:rsidR="002A7658" w:rsidRPr="000D4044" w:rsidRDefault="002A7658" w:rsidP="002A7658">
      <w:pPr>
        <w:pStyle w:val="Prrafodelista1"/>
        <w:ind w:left="0"/>
        <w:rPr>
          <w:rFonts w:ascii="Arial" w:hAnsi="Arial" w:cs="Arial"/>
          <w:b/>
          <w:sz w:val="20"/>
          <w:szCs w:val="20"/>
        </w:rPr>
      </w:pPr>
      <w:r w:rsidRPr="000D4044">
        <w:rPr>
          <w:rFonts w:ascii="Arial" w:hAnsi="Arial" w:cs="Arial"/>
          <w:b/>
          <w:sz w:val="20"/>
          <w:szCs w:val="20"/>
        </w:rPr>
        <w:lastRenderedPageBreak/>
        <w:t>Taxa de protecció de la desocupació a Catalunya</w:t>
      </w:r>
    </w:p>
    <w:p w:rsidR="002A7658" w:rsidRPr="000D4044" w:rsidRDefault="002A7658" w:rsidP="002A7658">
      <w:pPr>
        <w:spacing w:after="0"/>
        <w:jc w:val="both"/>
        <w:rPr>
          <w:rFonts w:ascii="Arial" w:hAnsi="Arial" w:cs="Arial"/>
        </w:rPr>
      </w:pPr>
      <w:r w:rsidRPr="000D4044">
        <w:rPr>
          <w:rFonts w:ascii="Arial" w:hAnsi="Arial" w:cs="Arial"/>
          <w:noProof/>
          <w:lang w:eastAsia="ca-ES"/>
        </w:rPr>
        <w:drawing>
          <wp:inline distT="0" distB="0" distL="0" distR="0">
            <wp:extent cx="4438650" cy="2628900"/>
            <wp:effectExtent l="19050" t="0" r="19050" b="0"/>
            <wp:docPr id="1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A7658" w:rsidRPr="000D4044" w:rsidRDefault="002A7658" w:rsidP="0063533B">
      <w:pPr>
        <w:pStyle w:val="Prrafodelista1"/>
        <w:spacing w:after="200" w:line="360" w:lineRule="auto"/>
        <w:ind w:left="0"/>
        <w:rPr>
          <w:rFonts w:ascii="Arial" w:hAnsi="Arial" w:cs="Arial"/>
          <w:sz w:val="16"/>
          <w:szCs w:val="16"/>
        </w:rPr>
      </w:pPr>
      <w:r w:rsidRPr="000D4044">
        <w:rPr>
          <w:rFonts w:ascii="Arial" w:hAnsi="Arial" w:cs="Arial"/>
          <w:sz w:val="16"/>
          <w:szCs w:val="16"/>
        </w:rPr>
        <w:t>Font: Elaboració pròpia a partir de l’explotació de les microdades de la EPA.</w:t>
      </w:r>
    </w:p>
    <w:p w:rsidR="002A7658" w:rsidRPr="000D4044" w:rsidRDefault="002A7658" w:rsidP="0063533B">
      <w:pPr>
        <w:spacing w:line="360" w:lineRule="auto"/>
        <w:jc w:val="both"/>
        <w:rPr>
          <w:rFonts w:ascii="Arial" w:hAnsi="Arial" w:cs="Arial"/>
        </w:rPr>
      </w:pPr>
    </w:p>
    <w:p w:rsidR="002A7658" w:rsidRPr="000D4044" w:rsidRDefault="002A7658" w:rsidP="002A7658">
      <w:pPr>
        <w:pStyle w:val="Prrafodelista1"/>
        <w:ind w:left="0"/>
        <w:rPr>
          <w:rFonts w:ascii="Arial" w:hAnsi="Arial" w:cs="Arial"/>
          <w:b/>
          <w:sz w:val="20"/>
          <w:szCs w:val="20"/>
        </w:rPr>
      </w:pPr>
      <w:r w:rsidRPr="000D4044">
        <w:rPr>
          <w:rFonts w:ascii="Arial" w:hAnsi="Arial" w:cs="Arial"/>
          <w:b/>
          <w:sz w:val="20"/>
          <w:szCs w:val="20"/>
        </w:rPr>
        <w:t>Renda Mínima d’Inserció. 31 de desembre de cada any</w:t>
      </w:r>
    </w:p>
    <w:tbl>
      <w:tblPr>
        <w:tblStyle w:val="Sombreadoclaro-nfasis121"/>
        <w:tblW w:w="5000" w:type="pct"/>
        <w:tblLook w:val="04A0" w:firstRow="1" w:lastRow="0" w:firstColumn="1" w:lastColumn="0" w:noHBand="0" w:noVBand="1"/>
      </w:tblPr>
      <w:tblGrid>
        <w:gridCol w:w="934"/>
        <w:gridCol w:w="1868"/>
        <w:gridCol w:w="1870"/>
        <w:gridCol w:w="2180"/>
        <w:gridCol w:w="1868"/>
      </w:tblGrid>
      <w:tr w:rsidR="002A7658" w:rsidRPr="00910468" w:rsidTr="003C5F8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2A7658">
            <w:pPr>
              <w:spacing w:after="0" w:line="240" w:lineRule="auto"/>
              <w:rPr>
                <w:rFonts w:ascii="Arial" w:eastAsia="Times New Roman" w:hAnsi="Arial" w:cs="Arial"/>
                <w:color w:val="auto"/>
                <w:sz w:val="20"/>
                <w:szCs w:val="20"/>
                <w:lang w:eastAsia="ca-ES"/>
              </w:rPr>
            </w:pPr>
          </w:p>
        </w:tc>
        <w:tc>
          <w:tcPr>
            <w:tcW w:w="2143" w:type="pct"/>
            <w:gridSpan w:val="2"/>
            <w:noWrap/>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Valors</w:t>
            </w:r>
          </w:p>
        </w:tc>
        <w:tc>
          <w:tcPr>
            <w:tcW w:w="2321" w:type="pct"/>
            <w:gridSpan w:val="2"/>
            <w:vAlign w:val="center"/>
            <w:hideMark/>
          </w:tcPr>
          <w:p w:rsidR="002A7658" w:rsidRPr="00910468" w:rsidRDefault="002A7658" w:rsidP="003C5F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Variació interanual</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2A7658">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Any</w:t>
            </w:r>
          </w:p>
        </w:tc>
        <w:tc>
          <w:tcPr>
            <w:tcW w:w="1071" w:type="pct"/>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eastAsia="ca-ES"/>
              </w:rPr>
            </w:pPr>
            <w:r w:rsidRPr="00910468">
              <w:rPr>
                <w:rFonts w:ascii="Arial" w:eastAsia="Times New Roman" w:hAnsi="Arial" w:cs="Arial"/>
                <w:b/>
                <w:bCs/>
                <w:color w:val="auto"/>
                <w:sz w:val="20"/>
                <w:szCs w:val="20"/>
                <w:lang w:eastAsia="ca-ES"/>
              </w:rPr>
              <w:t>Expedients vigents</w:t>
            </w:r>
          </w:p>
        </w:tc>
        <w:tc>
          <w:tcPr>
            <w:tcW w:w="1071" w:type="pct"/>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eastAsia="ca-ES"/>
              </w:rPr>
            </w:pPr>
            <w:r w:rsidRPr="00910468">
              <w:rPr>
                <w:rFonts w:ascii="Arial" w:eastAsia="Times New Roman" w:hAnsi="Arial" w:cs="Arial"/>
                <w:b/>
                <w:bCs/>
                <w:color w:val="auto"/>
                <w:sz w:val="20"/>
                <w:szCs w:val="20"/>
                <w:lang w:eastAsia="ca-ES"/>
              </w:rPr>
              <w:t>Import executat</w:t>
            </w:r>
          </w:p>
        </w:tc>
        <w:tc>
          <w:tcPr>
            <w:tcW w:w="1250" w:type="pct"/>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eastAsia="ca-ES"/>
              </w:rPr>
            </w:pPr>
            <w:r w:rsidRPr="00910468">
              <w:rPr>
                <w:rFonts w:ascii="Arial" w:eastAsia="Times New Roman" w:hAnsi="Arial" w:cs="Arial"/>
                <w:b/>
                <w:bCs/>
                <w:color w:val="auto"/>
                <w:sz w:val="20"/>
                <w:szCs w:val="20"/>
                <w:lang w:eastAsia="ca-ES"/>
              </w:rPr>
              <w:t>Expedients vigents</w:t>
            </w:r>
          </w:p>
        </w:tc>
        <w:tc>
          <w:tcPr>
            <w:tcW w:w="1071" w:type="pct"/>
            <w:vAlign w:val="center"/>
            <w:hideMark/>
          </w:tcPr>
          <w:p w:rsidR="002A7658" w:rsidRPr="00910468" w:rsidRDefault="002A7658" w:rsidP="003C5F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eastAsia="ca-ES"/>
              </w:rPr>
            </w:pPr>
            <w:r w:rsidRPr="00910468">
              <w:rPr>
                <w:rFonts w:ascii="Arial" w:eastAsia="Times New Roman" w:hAnsi="Arial" w:cs="Arial"/>
                <w:b/>
                <w:bCs/>
                <w:color w:val="auto"/>
                <w:sz w:val="20"/>
                <w:szCs w:val="20"/>
                <w:lang w:eastAsia="ca-ES"/>
              </w:rPr>
              <w:t>Import executat</w:t>
            </w:r>
          </w:p>
        </w:tc>
      </w:tr>
      <w:tr w:rsidR="002A7658" w:rsidRPr="00910468" w:rsidTr="003C5F81">
        <w:trPr>
          <w:trHeight w:val="300"/>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2007</w:t>
            </w:r>
          </w:p>
        </w:tc>
        <w:tc>
          <w:tcPr>
            <w:tcW w:w="1071" w:type="pct"/>
            <w:noWrap/>
            <w:vAlign w:val="center"/>
            <w:hideMark/>
          </w:tcPr>
          <w:p w:rsidR="002A7658" w:rsidRPr="00910468" w:rsidRDefault="002A7658" w:rsidP="00966349">
            <w:pPr>
              <w:spacing w:after="0" w:line="240" w:lineRule="auto"/>
              <w:ind w:firstLineChars="300" w:firstLine="6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12.625</w:t>
            </w:r>
          </w:p>
        </w:tc>
        <w:tc>
          <w:tcPr>
            <w:tcW w:w="1071" w:type="pct"/>
            <w:noWrap/>
            <w:vAlign w:val="center"/>
            <w:hideMark/>
          </w:tcPr>
          <w:p w:rsidR="002A7658" w:rsidRPr="00910468" w:rsidRDefault="002A7658" w:rsidP="00966349">
            <w:pPr>
              <w:spacing w:after="0" w:line="240" w:lineRule="auto"/>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71.755.813</w:t>
            </w:r>
          </w:p>
        </w:tc>
        <w:tc>
          <w:tcPr>
            <w:tcW w:w="1250" w:type="pct"/>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0,41%</w:t>
            </w:r>
          </w:p>
        </w:tc>
        <w:tc>
          <w:tcPr>
            <w:tcW w:w="1071" w:type="pct"/>
            <w:noWrap/>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11,93%</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2008</w:t>
            </w:r>
          </w:p>
        </w:tc>
        <w:tc>
          <w:tcPr>
            <w:tcW w:w="1071" w:type="pct"/>
            <w:noWrap/>
            <w:vAlign w:val="center"/>
            <w:hideMark/>
          </w:tcPr>
          <w:p w:rsidR="002A7658" w:rsidRPr="00910468" w:rsidRDefault="002A7658" w:rsidP="00966349">
            <w:pPr>
              <w:spacing w:after="0" w:line="240" w:lineRule="auto"/>
              <w:ind w:firstLineChars="300" w:firstLine="6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13.708</w:t>
            </w:r>
          </w:p>
        </w:tc>
        <w:tc>
          <w:tcPr>
            <w:tcW w:w="1071" w:type="pct"/>
            <w:noWrap/>
            <w:vAlign w:val="center"/>
            <w:hideMark/>
          </w:tcPr>
          <w:p w:rsidR="002A7658" w:rsidRPr="00910468" w:rsidRDefault="002A7658" w:rsidP="00966349">
            <w:pPr>
              <w:spacing w:after="0" w:line="240" w:lineRule="auto"/>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76.322.337</w:t>
            </w:r>
          </w:p>
        </w:tc>
        <w:tc>
          <w:tcPr>
            <w:tcW w:w="1250" w:type="pct"/>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8,58%</w:t>
            </w:r>
          </w:p>
        </w:tc>
        <w:tc>
          <w:tcPr>
            <w:tcW w:w="1071" w:type="pct"/>
            <w:noWrap/>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6,36%</w:t>
            </w:r>
          </w:p>
        </w:tc>
      </w:tr>
      <w:tr w:rsidR="002A7658" w:rsidRPr="00910468" w:rsidTr="003C5F81">
        <w:trPr>
          <w:trHeight w:val="300"/>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2009</w:t>
            </w:r>
          </w:p>
        </w:tc>
        <w:tc>
          <w:tcPr>
            <w:tcW w:w="1071" w:type="pct"/>
            <w:noWrap/>
            <w:vAlign w:val="center"/>
            <w:hideMark/>
          </w:tcPr>
          <w:p w:rsidR="002A7658" w:rsidRPr="00910468" w:rsidRDefault="002A7658" w:rsidP="00966349">
            <w:pPr>
              <w:spacing w:after="0" w:line="240" w:lineRule="auto"/>
              <w:ind w:firstLineChars="300" w:firstLine="6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22.068</w:t>
            </w:r>
          </w:p>
        </w:tc>
        <w:tc>
          <w:tcPr>
            <w:tcW w:w="1071" w:type="pct"/>
            <w:noWrap/>
            <w:vAlign w:val="center"/>
            <w:hideMark/>
          </w:tcPr>
          <w:p w:rsidR="002A7658" w:rsidRPr="00910468" w:rsidRDefault="002A7658" w:rsidP="00966349">
            <w:pPr>
              <w:spacing w:after="0" w:line="240" w:lineRule="auto"/>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109.463.419</w:t>
            </w:r>
          </w:p>
        </w:tc>
        <w:tc>
          <w:tcPr>
            <w:tcW w:w="1250" w:type="pct"/>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60,99%</w:t>
            </w:r>
          </w:p>
        </w:tc>
        <w:tc>
          <w:tcPr>
            <w:tcW w:w="1071" w:type="pct"/>
            <w:noWrap/>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43,42%</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2010</w:t>
            </w:r>
          </w:p>
        </w:tc>
        <w:tc>
          <w:tcPr>
            <w:tcW w:w="1071" w:type="pct"/>
            <w:noWrap/>
            <w:vAlign w:val="center"/>
            <w:hideMark/>
          </w:tcPr>
          <w:p w:rsidR="002A7658" w:rsidRPr="00910468" w:rsidRDefault="002A7658" w:rsidP="00966349">
            <w:pPr>
              <w:spacing w:after="0" w:line="240" w:lineRule="auto"/>
              <w:ind w:firstLineChars="300" w:firstLine="6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30.284</w:t>
            </w:r>
          </w:p>
        </w:tc>
        <w:tc>
          <w:tcPr>
            <w:tcW w:w="1071" w:type="pct"/>
            <w:noWrap/>
            <w:vAlign w:val="center"/>
            <w:hideMark/>
          </w:tcPr>
          <w:p w:rsidR="002A7658" w:rsidRPr="00910468" w:rsidRDefault="002A7658" w:rsidP="00966349">
            <w:pPr>
              <w:spacing w:after="0" w:line="240" w:lineRule="auto"/>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159.795.965</w:t>
            </w:r>
          </w:p>
        </w:tc>
        <w:tc>
          <w:tcPr>
            <w:tcW w:w="1250" w:type="pct"/>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37,23%</w:t>
            </w:r>
          </w:p>
        </w:tc>
        <w:tc>
          <w:tcPr>
            <w:tcW w:w="1071" w:type="pct"/>
            <w:noWrap/>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45,98%</w:t>
            </w:r>
          </w:p>
        </w:tc>
      </w:tr>
      <w:tr w:rsidR="002A7658" w:rsidRPr="00910468" w:rsidTr="003C5F81">
        <w:trPr>
          <w:trHeight w:val="300"/>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2011</w:t>
            </w:r>
          </w:p>
        </w:tc>
        <w:tc>
          <w:tcPr>
            <w:tcW w:w="1071" w:type="pct"/>
            <w:noWrap/>
            <w:vAlign w:val="center"/>
            <w:hideMark/>
          </w:tcPr>
          <w:p w:rsidR="002A7658" w:rsidRPr="00910468" w:rsidRDefault="002A7658" w:rsidP="00966349">
            <w:pPr>
              <w:spacing w:after="0" w:line="240" w:lineRule="auto"/>
              <w:ind w:firstLineChars="300" w:firstLine="6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24.765</w:t>
            </w:r>
          </w:p>
        </w:tc>
        <w:tc>
          <w:tcPr>
            <w:tcW w:w="1071" w:type="pct"/>
            <w:noWrap/>
            <w:vAlign w:val="center"/>
            <w:hideMark/>
          </w:tcPr>
          <w:p w:rsidR="002A7658" w:rsidRPr="00910468" w:rsidRDefault="002A7658" w:rsidP="00966349">
            <w:pPr>
              <w:spacing w:after="0" w:line="240" w:lineRule="auto"/>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170.468.717</w:t>
            </w:r>
          </w:p>
        </w:tc>
        <w:tc>
          <w:tcPr>
            <w:tcW w:w="1250" w:type="pct"/>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-18,22%</w:t>
            </w:r>
          </w:p>
        </w:tc>
        <w:tc>
          <w:tcPr>
            <w:tcW w:w="1071" w:type="pct"/>
            <w:noWrap/>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6,68%</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2012</w:t>
            </w:r>
          </w:p>
        </w:tc>
        <w:tc>
          <w:tcPr>
            <w:tcW w:w="1071" w:type="pct"/>
            <w:noWrap/>
            <w:vAlign w:val="center"/>
            <w:hideMark/>
          </w:tcPr>
          <w:p w:rsidR="002A7658" w:rsidRPr="00910468" w:rsidRDefault="002A7658" w:rsidP="00966349">
            <w:pPr>
              <w:spacing w:after="0" w:line="240" w:lineRule="auto"/>
              <w:ind w:firstLineChars="300" w:firstLine="6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23.123</w:t>
            </w:r>
          </w:p>
        </w:tc>
        <w:tc>
          <w:tcPr>
            <w:tcW w:w="1071" w:type="pct"/>
            <w:noWrap/>
            <w:vAlign w:val="center"/>
            <w:hideMark/>
          </w:tcPr>
          <w:p w:rsidR="002A7658" w:rsidRPr="00910468" w:rsidRDefault="002A7658" w:rsidP="00966349">
            <w:pPr>
              <w:spacing w:after="0" w:line="240" w:lineRule="auto"/>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129.979.299</w:t>
            </w:r>
          </w:p>
        </w:tc>
        <w:tc>
          <w:tcPr>
            <w:tcW w:w="1250" w:type="pct"/>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-6,63%</w:t>
            </w:r>
          </w:p>
        </w:tc>
        <w:tc>
          <w:tcPr>
            <w:tcW w:w="1071" w:type="pct"/>
            <w:noWrap/>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-23,75%</w:t>
            </w:r>
          </w:p>
        </w:tc>
      </w:tr>
      <w:tr w:rsidR="002A7658" w:rsidRPr="00910468" w:rsidTr="003C5F81">
        <w:trPr>
          <w:trHeight w:val="315"/>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hAnsi="Arial" w:cs="Arial"/>
                <w:color w:val="auto"/>
                <w:sz w:val="20"/>
                <w:szCs w:val="20"/>
              </w:rPr>
            </w:pPr>
            <w:r w:rsidRPr="00910468">
              <w:rPr>
                <w:rFonts w:ascii="Arial" w:hAnsi="Arial" w:cs="Arial"/>
                <w:color w:val="auto"/>
                <w:sz w:val="20"/>
                <w:szCs w:val="20"/>
              </w:rPr>
              <w:t>2013</w:t>
            </w:r>
          </w:p>
        </w:tc>
        <w:tc>
          <w:tcPr>
            <w:tcW w:w="1071" w:type="pct"/>
            <w:noWrap/>
            <w:vAlign w:val="center"/>
            <w:hideMark/>
          </w:tcPr>
          <w:p w:rsidR="002A7658" w:rsidRPr="00910468" w:rsidRDefault="002A7658" w:rsidP="00966349">
            <w:pPr>
              <w:spacing w:after="0" w:line="240" w:lineRule="auto"/>
              <w:ind w:firstLineChars="300" w:firstLine="6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24.988</w:t>
            </w:r>
          </w:p>
        </w:tc>
        <w:tc>
          <w:tcPr>
            <w:tcW w:w="1071" w:type="pct"/>
            <w:noWrap/>
            <w:vAlign w:val="center"/>
            <w:hideMark/>
          </w:tcPr>
          <w:p w:rsidR="002A7658" w:rsidRPr="00910468" w:rsidRDefault="002A7658" w:rsidP="00966349">
            <w:pPr>
              <w:spacing w:after="0" w:line="240" w:lineRule="auto"/>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132.762.615</w:t>
            </w:r>
          </w:p>
        </w:tc>
        <w:tc>
          <w:tcPr>
            <w:tcW w:w="1250" w:type="pct"/>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8,07%</w:t>
            </w:r>
          </w:p>
        </w:tc>
        <w:tc>
          <w:tcPr>
            <w:tcW w:w="1071" w:type="pct"/>
            <w:noWrap/>
            <w:vAlign w:val="center"/>
            <w:hideMark/>
          </w:tcPr>
          <w:p w:rsidR="002A7658" w:rsidRPr="00910468" w:rsidRDefault="002A7658" w:rsidP="00966349">
            <w:pPr>
              <w:spacing w:after="0" w:line="240" w:lineRule="auto"/>
              <w:ind w:firstLineChars="200" w:firstLine="4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2,14%</w:t>
            </w:r>
          </w:p>
        </w:tc>
      </w:tr>
      <w:tr w:rsidR="002A7658" w:rsidRPr="00910468" w:rsidTr="003C5F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6" w:type="pct"/>
            <w:noWrap/>
            <w:vAlign w:val="center"/>
            <w:hideMark/>
          </w:tcPr>
          <w:p w:rsidR="002A7658" w:rsidRPr="00910468" w:rsidRDefault="002A7658" w:rsidP="003C5F81">
            <w:pPr>
              <w:spacing w:after="0" w:line="240" w:lineRule="auto"/>
              <w:rPr>
                <w:rFonts w:ascii="Arial" w:hAnsi="Arial" w:cs="Arial"/>
                <w:color w:val="auto"/>
                <w:sz w:val="20"/>
                <w:szCs w:val="20"/>
              </w:rPr>
            </w:pPr>
            <w:r w:rsidRPr="00910468">
              <w:rPr>
                <w:rFonts w:ascii="Arial" w:hAnsi="Arial" w:cs="Arial"/>
                <w:color w:val="auto"/>
                <w:sz w:val="20"/>
                <w:szCs w:val="20"/>
              </w:rPr>
              <w:t>2014</w:t>
            </w:r>
          </w:p>
        </w:tc>
        <w:tc>
          <w:tcPr>
            <w:tcW w:w="1071" w:type="pct"/>
            <w:noWrap/>
            <w:vAlign w:val="center"/>
            <w:hideMark/>
          </w:tcPr>
          <w:p w:rsidR="002A7658" w:rsidRPr="00910468" w:rsidRDefault="002A7658" w:rsidP="00966349">
            <w:pPr>
              <w:spacing w:after="0" w:line="240" w:lineRule="auto"/>
              <w:ind w:firstLineChars="300" w:firstLine="6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27.071</w:t>
            </w:r>
          </w:p>
        </w:tc>
        <w:tc>
          <w:tcPr>
            <w:tcW w:w="1071" w:type="pct"/>
            <w:noWrap/>
            <w:vAlign w:val="center"/>
            <w:hideMark/>
          </w:tcPr>
          <w:p w:rsidR="002A7658" w:rsidRPr="00910468" w:rsidRDefault="002A7658" w:rsidP="00966349">
            <w:pPr>
              <w:spacing w:after="0" w:line="240" w:lineRule="auto"/>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162.011.253</w:t>
            </w:r>
          </w:p>
        </w:tc>
        <w:tc>
          <w:tcPr>
            <w:tcW w:w="1250" w:type="pct"/>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8,34%</w:t>
            </w:r>
          </w:p>
        </w:tc>
        <w:tc>
          <w:tcPr>
            <w:tcW w:w="1071" w:type="pct"/>
            <w:noWrap/>
            <w:vAlign w:val="center"/>
            <w:hideMark/>
          </w:tcPr>
          <w:p w:rsidR="002A7658" w:rsidRPr="00910468" w:rsidRDefault="002A7658" w:rsidP="00966349">
            <w:pPr>
              <w:spacing w:after="0" w:line="240" w:lineRule="auto"/>
              <w:ind w:firstLineChars="200" w:firstLine="4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10468">
              <w:rPr>
                <w:rFonts w:ascii="Arial" w:hAnsi="Arial" w:cs="Arial"/>
                <w:color w:val="auto"/>
                <w:sz w:val="20"/>
                <w:szCs w:val="20"/>
              </w:rPr>
              <w:t>22,03%</w:t>
            </w:r>
          </w:p>
        </w:tc>
      </w:tr>
    </w:tbl>
    <w:p w:rsidR="002A7658" w:rsidRPr="000D4044" w:rsidRDefault="002A7658" w:rsidP="0063533B">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Observatori d’Empresa i Ocupació.</w:t>
      </w:r>
    </w:p>
    <w:p w:rsidR="002A7658" w:rsidRDefault="002A7658" w:rsidP="0063533B">
      <w:pPr>
        <w:spacing w:line="360" w:lineRule="auto"/>
        <w:jc w:val="both"/>
        <w:rPr>
          <w:rFonts w:ascii="Arial" w:hAnsi="Arial" w:cs="Arial"/>
        </w:rPr>
      </w:pPr>
    </w:p>
    <w:p w:rsidR="005E7F67" w:rsidRDefault="005E7F67">
      <w:pPr>
        <w:spacing w:after="0" w:line="240" w:lineRule="auto"/>
        <w:rPr>
          <w:rFonts w:ascii="Arial" w:hAnsi="Arial" w:cs="Arial"/>
        </w:rPr>
      </w:pPr>
      <w:r>
        <w:rPr>
          <w:rFonts w:ascii="Arial" w:hAnsi="Arial" w:cs="Arial"/>
        </w:rPr>
        <w:br w:type="page"/>
      </w:r>
    </w:p>
    <w:p w:rsidR="002B6D45" w:rsidRPr="002A7658" w:rsidRDefault="002B6D45" w:rsidP="00D530D3">
      <w:pPr>
        <w:spacing w:line="360" w:lineRule="auto"/>
        <w:jc w:val="both"/>
        <w:rPr>
          <w:rFonts w:ascii="Arial" w:hAnsi="Arial" w:cs="Arial"/>
        </w:rPr>
      </w:pPr>
      <w:r>
        <w:rPr>
          <w:rFonts w:ascii="Arial" w:hAnsi="Arial" w:cs="Arial"/>
          <w:b/>
          <w:sz w:val="28"/>
          <w:szCs w:val="28"/>
        </w:rPr>
        <w:lastRenderedPageBreak/>
        <w:t xml:space="preserve">4. </w:t>
      </w:r>
      <w:r w:rsidRPr="00630693">
        <w:rPr>
          <w:rFonts w:ascii="Arial" w:hAnsi="Arial" w:cs="Arial"/>
          <w:b/>
          <w:sz w:val="28"/>
          <w:szCs w:val="28"/>
        </w:rPr>
        <w:t>Mercat de treball</w:t>
      </w:r>
    </w:p>
    <w:p w:rsidR="002A7658" w:rsidRDefault="002A7658" w:rsidP="002A7658">
      <w:pPr>
        <w:jc w:val="both"/>
        <w:rPr>
          <w:rFonts w:ascii="Arial" w:hAnsi="Arial" w:cs="Arial"/>
        </w:rPr>
      </w:pPr>
      <w:r w:rsidRPr="000D4044">
        <w:rPr>
          <w:rFonts w:ascii="Arial" w:hAnsi="Arial" w:cs="Arial"/>
        </w:rPr>
        <w:t>La crisi d’ocupació s’inicia el 2008 amb una important caiguda de la població ocupada i de la població assalariada, i continua de manera sostinguda fins el 2013. Com a conseqüència directa d’aquesta destrucció de llocs de treball, l’increment de la població aturada fa un salt important també en el 4t trimestre del 2008 i durant el 2009. Tot i que posteriorment el ritme es modera, l’augment de la població aturada encara continua fins el 2013.</w:t>
      </w:r>
    </w:p>
    <w:p w:rsidR="002A7658" w:rsidRPr="000D4044" w:rsidRDefault="002A7658" w:rsidP="002A7658">
      <w:pPr>
        <w:jc w:val="both"/>
        <w:rPr>
          <w:rFonts w:ascii="Arial" w:hAnsi="Arial" w:cs="Arial"/>
        </w:rPr>
      </w:pPr>
      <w:r w:rsidRPr="000D4044">
        <w:rPr>
          <w:rFonts w:ascii="Arial" w:hAnsi="Arial" w:cs="Arial"/>
        </w:rPr>
        <w:t>En el 2014</w:t>
      </w:r>
      <w:r>
        <w:rPr>
          <w:rFonts w:ascii="Arial" w:hAnsi="Arial" w:cs="Arial"/>
        </w:rPr>
        <w:t xml:space="preserve"> però, es produeix un canvi.</w:t>
      </w:r>
      <w:r w:rsidRPr="000D4044">
        <w:rPr>
          <w:rFonts w:ascii="Arial" w:hAnsi="Arial" w:cs="Arial"/>
        </w:rPr>
        <w:t xml:space="preserve"> </w:t>
      </w:r>
      <w:r>
        <w:rPr>
          <w:rFonts w:ascii="Arial" w:hAnsi="Arial" w:cs="Arial"/>
        </w:rPr>
        <w:t>L</w:t>
      </w:r>
      <w:r w:rsidRPr="000D4044">
        <w:rPr>
          <w:rFonts w:ascii="Arial" w:hAnsi="Arial" w:cs="Arial"/>
        </w:rPr>
        <w:t>a població aturada es redueix i la població ocupada comença a créixer per primer cop des de l’inici de la crisi. Tot i així la població ocupada encara és un 15,4% inferior a la que hi havia el 2008.</w:t>
      </w:r>
    </w:p>
    <w:p w:rsidR="002A7658" w:rsidRPr="000D4044" w:rsidRDefault="002A7658" w:rsidP="002A7658">
      <w:pPr>
        <w:jc w:val="both"/>
        <w:rPr>
          <w:rFonts w:ascii="Arial" w:hAnsi="Arial" w:cs="Arial"/>
        </w:rPr>
      </w:pPr>
      <w:r w:rsidRPr="000D4044">
        <w:rPr>
          <w:rFonts w:ascii="Arial" w:hAnsi="Arial" w:cs="Arial"/>
        </w:rPr>
        <w:t>D’altra banda, a partir de finals del 2009, un any després de l’inici de la crisi, com a conseqüència de la pèrdua de llocs de treball, s’inicia una tendència a la pèrdua d’efectius poblacionals. La població de 16 i més anys es comença a reduir per la marxa de població a fora de Catalunya, fonamentalment a l’estranger. En aquesta pèrdua de població potencialment activa, que continua en el 2014, hi té el principal protagonisme la població immigrada.</w:t>
      </w:r>
    </w:p>
    <w:p w:rsidR="002A7658" w:rsidRPr="000D4044" w:rsidRDefault="002A7658" w:rsidP="002A7658">
      <w:pPr>
        <w:jc w:val="both"/>
        <w:rPr>
          <w:rFonts w:ascii="Arial" w:hAnsi="Arial" w:cs="Arial"/>
        </w:rPr>
      </w:pPr>
      <w:r w:rsidRPr="000D4044">
        <w:rPr>
          <w:rFonts w:ascii="Arial" w:hAnsi="Arial" w:cs="Arial"/>
        </w:rPr>
        <w:t>També es redueix la població activa. Una part d’aquesta reducció és imputable a la població que marxa de Catalunya i una altra és el resultat del pas a la inactivitat. En aquest darrer cas, hi juguen un paper important els joves que decideixen reincorporar</w:t>
      </w:r>
      <w:r w:rsidRPr="000D4044">
        <w:rPr>
          <w:rFonts w:ascii="Arial" w:hAnsi="Arial" w:cs="Arial"/>
        </w:rPr>
        <w:noBreakHyphen/>
        <w:t>se als estudis després que les oportunitats de treball es vagin re</w:t>
      </w:r>
      <w:r w:rsidR="006C37E9">
        <w:rPr>
          <w:rFonts w:ascii="Arial" w:hAnsi="Arial" w:cs="Arial"/>
        </w:rPr>
        <w:t>duint trimestre rere trimestre.</w:t>
      </w:r>
    </w:p>
    <w:p w:rsidR="002A7658" w:rsidRPr="000D4044" w:rsidRDefault="002A7658" w:rsidP="002A7658">
      <w:pPr>
        <w:jc w:val="both"/>
        <w:rPr>
          <w:rFonts w:ascii="Arial" w:hAnsi="Arial" w:cs="Arial"/>
        </w:rPr>
      </w:pPr>
      <w:r w:rsidRPr="000D4044">
        <w:rPr>
          <w:rFonts w:ascii="Arial" w:hAnsi="Arial" w:cs="Arial"/>
        </w:rPr>
        <w:t>L’anàlisi de les taxes ens mostra una reducció de la taxa d’ocupació, que ja a partir del 2010 passa a estar per sota de la de la UE-27 i un augment de la taxa d’atur que supera la taxa europea ja en el 2008. En el 2014 es produeix un canvi i la taxa d’ocupació mitjana s’incrementa en 2 punts percentuals respecte l’any anterior, mentre la taxa d’atur mitjana es redueix en 3 punts també en termes interanuals.</w:t>
      </w:r>
    </w:p>
    <w:p w:rsidR="002A7658" w:rsidRPr="000D4044" w:rsidRDefault="002A7658" w:rsidP="006C37E9">
      <w:pPr>
        <w:jc w:val="both"/>
        <w:rPr>
          <w:rFonts w:ascii="Arial" w:hAnsi="Arial" w:cs="Arial"/>
        </w:rPr>
      </w:pPr>
      <w:r w:rsidRPr="000D4044">
        <w:rPr>
          <w:rFonts w:ascii="Arial" w:hAnsi="Arial" w:cs="Arial"/>
        </w:rPr>
        <w:t>Aquesta evolució presenta variacions segons el sexe, l’edat i la nacionalitat, tal com ens mostren les taules i gràfics q</w:t>
      </w:r>
      <w:r w:rsidR="006C37E9">
        <w:rPr>
          <w:rFonts w:ascii="Arial" w:hAnsi="Arial" w:cs="Arial"/>
        </w:rPr>
        <w:t>ue presentem en aquest apartat.</w:t>
      </w:r>
    </w:p>
    <w:p w:rsidR="002A7658" w:rsidRPr="000D4044" w:rsidRDefault="002A7658" w:rsidP="002A7658">
      <w:pPr>
        <w:jc w:val="both"/>
        <w:rPr>
          <w:rFonts w:ascii="Arial" w:hAnsi="Arial" w:cs="Arial"/>
        </w:rPr>
      </w:pPr>
      <w:r w:rsidRPr="000D4044">
        <w:rPr>
          <w:rFonts w:ascii="Arial" w:hAnsi="Arial" w:cs="Arial"/>
        </w:rPr>
        <w:t>Els homes presenten una tendència a la reducció de la seva taxa d’activitat durant tot el període. En canvi la taxa d’activitat femenina, s’incrementa. Aquest augment de l’activitat femenina pot respondre, tal com ja s’ha interpretat en altres etapes de crisi, a una estratègia familiar que intenta compensar la pèrdua d’ocupació masculina motivada per la greu crisi de sectors molt masculinitzats, especialment el de la construcció, sobretot a partir del segon any de crisi. Les taxes d’ocupació d’homes i dones s’acosten, després de la important caiguda de la taxa masculina entre el 2008 i el 2009, caiguda que continua sent superior en el cas dels homes fins al 2013. En el 2014 l’inici de recuperació de l’ocupació és similar en ambdós sexes. La taxa d’atur dels homes, que fins el 2007 havia estat per sota de la taxa d’atur femenina, la sobrepassa i es manté per sobre encara en el 2014.</w:t>
      </w:r>
    </w:p>
    <w:p w:rsidR="002A7658" w:rsidRPr="000D4044" w:rsidRDefault="002A7658" w:rsidP="002A7658">
      <w:pPr>
        <w:jc w:val="both"/>
        <w:rPr>
          <w:rFonts w:ascii="Arial" w:hAnsi="Arial" w:cs="Arial"/>
        </w:rPr>
      </w:pPr>
      <w:r w:rsidRPr="000D4044">
        <w:rPr>
          <w:rFonts w:ascii="Arial" w:hAnsi="Arial" w:cs="Arial"/>
        </w:rPr>
        <w:t xml:space="preserve">La població potencialment activa més jove (de 16 a 24 anys), presenta  una molt important reducció de la taxa d’activitat que, sabem, coincideix amb un increment del percentatge de joves matriculats en estudis postobligatoris. Es tracta d’un canvi </w:t>
      </w:r>
      <w:r w:rsidRPr="000D4044">
        <w:rPr>
          <w:rFonts w:ascii="Arial" w:hAnsi="Arial" w:cs="Arial"/>
        </w:rPr>
        <w:lastRenderedPageBreak/>
        <w:t>d’orientació, del treball no qualificat a la millora del propi capital formatiu, com a alternativa a les dificultats creixents que presenta el mercat de treball, no només en termes de demanda de mà d’obra, sinó també en termes de qualitat de les condicions de treball que ofereixen les empreses. D’altra banda, aquells i aquelles joves que continuen volent treballar, presenten una taxa d’ocupació per sota de la meitat de la que tenia aquest grup d’edat a finals del 2007 i també una taxa d’atur que triplica la de l’inici del període. Aquesta taxa d’atur juvenil (16 a 24 anys) es redueix en el 2014, igual que ho fa la taxa del grup central (25 a 54 anys).</w:t>
      </w:r>
    </w:p>
    <w:p w:rsidR="002A7658" w:rsidRPr="000D4044" w:rsidRDefault="002A7658" w:rsidP="002A7658">
      <w:pPr>
        <w:jc w:val="both"/>
        <w:rPr>
          <w:rFonts w:ascii="Arial" w:hAnsi="Arial" w:cs="Arial"/>
        </w:rPr>
      </w:pPr>
      <w:r w:rsidRPr="000D4044">
        <w:rPr>
          <w:rFonts w:ascii="Arial" w:hAnsi="Arial" w:cs="Arial"/>
        </w:rPr>
        <w:t xml:space="preserve">La població estrangera mostra força oscil·lació en les taxes, especialment en la taxa d’activitat, degut als moviments de població als quals es veuen sotmesos com a col·lectiu. En el 2010 i el 2011 la conseqüència de la marxa de població en edat de treballar, que és superior a la reducció de població activa, és l’increment de la seva taxa d’activitat. En el 2014 però, la reducció d’actius és superior a la reducció de població i per això la seva taxa d’activitat cau. Durant tot el període de crisi la reducció de la seva taxa d’ocupació és superior a la de la població de nacionalitat espanyola i la seva taxa d’atur també creix més. Això </w:t>
      </w:r>
      <w:r w:rsidR="001F562E">
        <w:rPr>
          <w:rFonts w:ascii="Arial" w:hAnsi="Arial" w:cs="Arial"/>
        </w:rPr>
        <w:t xml:space="preserve">ha </w:t>
      </w:r>
      <w:r w:rsidRPr="000D4044">
        <w:rPr>
          <w:rFonts w:ascii="Arial" w:hAnsi="Arial" w:cs="Arial"/>
        </w:rPr>
        <w:t>canvia</w:t>
      </w:r>
      <w:r w:rsidR="001F562E">
        <w:rPr>
          <w:rFonts w:ascii="Arial" w:hAnsi="Arial" w:cs="Arial"/>
        </w:rPr>
        <w:t>t</w:t>
      </w:r>
      <w:r w:rsidRPr="000D4044">
        <w:rPr>
          <w:rFonts w:ascii="Arial" w:hAnsi="Arial" w:cs="Arial"/>
        </w:rPr>
        <w:t xml:space="preserve"> en el 2014, atès que la taxa d’ocupació de la població estrangera s’incrementa en termes interanuals més del que ho fa en la població de nacionalitat espanyola, i la de d’atur es redueix força més.</w:t>
      </w:r>
    </w:p>
    <w:p w:rsidR="002A7658" w:rsidRPr="000D4044" w:rsidRDefault="002A7658" w:rsidP="002A7658">
      <w:pPr>
        <w:jc w:val="both"/>
        <w:rPr>
          <w:rFonts w:ascii="Arial" w:hAnsi="Arial" w:cs="Arial"/>
        </w:rPr>
      </w:pPr>
      <w:r w:rsidRPr="000D4044">
        <w:rPr>
          <w:rFonts w:ascii="Arial" w:hAnsi="Arial" w:cs="Arial"/>
        </w:rPr>
        <w:t>La taxa de temporalitat es redueix de manera continuada des del 2007 fins el 2012. Entre el 2013 i el 2014 la temporalitat presenta una certa estabilització amb valors similars als del 2012, al voltant del 18,5% D’altra banda, el sector públic, que durant molts anys fou protagonista de la temporalitat, inicia el 2011 una tendència a la reducció de la seva taxa de temporalitat, mentre en el 2013 és el sector privat qui experimenta un increment de la temporalitat. En el 2014 els dos sectors es mantenen amb taxes molt similars.</w:t>
      </w:r>
    </w:p>
    <w:p w:rsidR="002A7658" w:rsidRPr="000D4044" w:rsidRDefault="002A7658" w:rsidP="002A7658">
      <w:pPr>
        <w:jc w:val="both"/>
        <w:rPr>
          <w:rFonts w:ascii="Arial" w:hAnsi="Arial" w:cs="Arial"/>
        </w:rPr>
      </w:pPr>
      <w:r w:rsidRPr="000D4044">
        <w:rPr>
          <w:rFonts w:ascii="Arial" w:hAnsi="Arial" w:cs="Arial"/>
        </w:rPr>
        <w:t>També es produeix, a partir del 2010, un augment del treball a temps parcial.  Entre el 2007 i el 2013 el treball a temps parcial a Catalunya s’incrementa un 4%, mentre que el treball a jornada completa es redueix en un 23%. La situació del 2013 es manté en el 2014.</w:t>
      </w:r>
    </w:p>
    <w:p w:rsidR="002A7658" w:rsidRPr="000D4044" w:rsidRDefault="002A7658" w:rsidP="002A7658">
      <w:pPr>
        <w:jc w:val="both"/>
        <w:rPr>
          <w:rFonts w:ascii="Arial" w:hAnsi="Arial" w:cs="Arial"/>
        </w:rPr>
      </w:pPr>
      <w:r w:rsidRPr="000D4044">
        <w:rPr>
          <w:rFonts w:ascii="Arial" w:hAnsi="Arial" w:cs="Arial"/>
        </w:rPr>
        <w:t>Aquesta precarització de l’ocupació afecta molt més als joves, però també afecta més a les dones que als homes i més a la població assalariada estrangera que a la de nacionalitat espanyola. Prop del 60% dels joves ocupats</w:t>
      </w:r>
      <w:r w:rsidR="008A0EE3">
        <w:rPr>
          <w:rFonts w:ascii="Arial" w:hAnsi="Arial" w:cs="Arial"/>
        </w:rPr>
        <w:t xml:space="preserve"> de 16 a 24 anys</w:t>
      </w:r>
      <w:r w:rsidRPr="000D4044">
        <w:rPr>
          <w:rFonts w:ascii="Arial" w:hAnsi="Arial" w:cs="Arial"/>
        </w:rPr>
        <w:t xml:space="preserve"> treballen amb contractes temporals i un 58,2% tenen contractes a temps parcial.</w:t>
      </w:r>
    </w:p>
    <w:p w:rsidR="002A7658" w:rsidRDefault="002A7658" w:rsidP="002A7658">
      <w:pPr>
        <w:jc w:val="both"/>
        <w:rPr>
          <w:rFonts w:ascii="Arial" w:hAnsi="Arial" w:cs="Arial"/>
        </w:rPr>
      </w:pPr>
      <w:r w:rsidRPr="000D4044">
        <w:rPr>
          <w:rFonts w:ascii="Arial" w:hAnsi="Arial" w:cs="Arial"/>
        </w:rPr>
        <w:t>Hi ha una part de la població treballadora que està patint de manera més acusada la situació de crisi d’ocupació, tal com ens mostra l’augment de la població aturada</w:t>
      </w:r>
      <w:r w:rsidR="002E0A7E">
        <w:rPr>
          <w:rFonts w:ascii="Arial" w:hAnsi="Arial" w:cs="Arial"/>
        </w:rPr>
        <w:t xml:space="preserve"> de llarga durada. L’any 2014 més del 60% dels aturats i aturades, van trigar més d’un any a trobar feina,</w:t>
      </w:r>
      <w:r w:rsidR="002E0A7E" w:rsidRPr="002E0A7E">
        <w:rPr>
          <w:rFonts w:ascii="Arial" w:hAnsi="Arial" w:cs="Arial"/>
        </w:rPr>
        <w:t xml:space="preserve"> </w:t>
      </w:r>
      <w:r w:rsidR="006F6DF1">
        <w:rPr>
          <w:rFonts w:ascii="Arial" w:hAnsi="Arial" w:cs="Arial"/>
        </w:rPr>
        <w:t>més de</w:t>
      </w:r>
      <w:r w:rsidR="002E0A7E">
        <w:rPr>
          <w:rFonts w:ascii="Arial" w:hAnsi="Arial" w:cs="Arial"/>
        </w:rPr>
        <w:t xml:space="preserve"> 3 punts </w:t>
      </w:r>
      <w:r w:rsidR="006F6DF1">
        <w:rPr>
          <w:rFonts w:ascii="Arial" w:hAnsi="Arial" w:cs="Arial"/>
        </w:rPr>
        <w:t>per sobre</w:t>
      </w:r>
      <w:r w:rsidR="00DA1C7C">
        <w:rPr>
          <w:rFonts w:ascii="Arial" w:hAnsi="Arial" w:cs="Arial"/>
        </w:rPr>
        <w:t xml:space="preserve"> que l’any anterior</w:t>
      </w:r>
      <w:r w:rsidR="002E0A7E">
        <w:rPr>
          <w:rFonts w:ascii="Arial" w:hAnsi="Arial" w:cs="Arial"/>
        </w:rPr>
        <w:t xml:space="preserve">. A més, la població </w:t>
      </w:r>
      <w:r w:rsidRPr="000D4044">
        <w:rPr>
          <w:rFonts w:ascii="Arial" w:hAnsi="Arial" w:cs="Arial"/>
        </w:rPr>
        <w:t xml:space="preserve">que viu en llars on tots els membres actius </w:t>
      </w:r>
      <w:r w:rsidR="002E0A7E">
        <w:rPr>
          <w:rFonts w:ascii="Arial" w:hAnsi="Arial" w:cs="Arial"/>
        </w:rPr>
        <w:t xml:space="preserve">estan aturats, </w:t>
      </w:r>
      <w:r w:rsidRPr="000D4044">
        <w:rPr>
          <w:rFonts w:ascii="Arial" w:hAnsi="Arial" w:cs="Arial"/>
        </w:rPr>
        <w:t>s’ha multiplicat per 6 entre el 2007 i el 2013. A finals del 2014, el 42,6% de la població aturada viu en llars on tots els actius estan aturats.</w:t>
      </w:r>
    </w:p>
    <w:p w:rsidR="005E7F67" w:rsidRDefault="005E7F67">
      <w:pPr>
        <w:spacing w:after="0" w:line="240" w:lineRule="auto"/>
        <w:rPr>
          <w:rFonts w:ascii="Arial" w:hAnsi="Arial" w:cs="Arial"/>
        </w:rPr>
      </w:pPr>
      <w:r>
        <w:rPr>
          <w:rFonts w:ascii="Arial" w:hAnsi="Arial" w:cs="Arial"/>
        </w:rPr>
        <w:br w:type="page"/>
      </w:r>
    </w:p>
    <w:p w:rsidR="006C37E9" w:rsidRPr="000D4044" w:rsidRDefault="006C37E9" w:rsidP="002A7658">
      <w:pPr>
        <w:jc w:val="both"/>
        <w:rPr>
          <w:rFonts w:ascii="Arial" w:hAnsi="Arial" w:cs="Arial"/>
        </w:rPr>
      </w:pPr>
    </w:p>
    <w:p w:rsidR="002A7658" w:rsidRPr="000D4044" w:rsidRDefault="002A7658" w:rsidP="0063533B">
      <w:pPr>
        <w:tabs>
          <w:tab w:val="left" w:pos="426"/>
        </w:tabs>
        <w:spacing w:line="360" w:lineRule="auto"/>
        <w:jc w:val="both"/>
        <w:rPr>
          <w:rFonts w:ascii="Arial" w:hAnsi="Arial" w:cs="Arial"/>
          <w:b/>
        </w:rPr>
      </w:pPr>
      <w:r w:rsidRPr="000D4044">
        <w:rPr>
          <w:rFonts w:ascii="Arial" w:hAnsi="Arial" w:cs="Arial"/>
          <w:b/>
        </w:rPr>
        <w:t>4.1. Dades Generals</w:t>
      </w:r>
    </w:p>
    <w:p w:rsidR="002A7658" w:rsidRPr="000D4044" w:rsidRDefault="002A7658" w:rsidP="0063533B">
      <w:pPr>
        <w:pStyle w:val="Prrafodelista1"/>
        <w:ind w:left="0"/>
        <w:jc w:val="left"/>
        <w:rPr>
          <w:rFonts w:ascii="Arial" w:hAnsi="Arial" w:cs="Arial"/>
          <w:b/>
          <w:sz w:val="20"/>
          <w:szCs w:val="20"/>
        </w:rPr>
      </w:pPr>
      <w:r w:rsidRPr="000D4044">
        <w:rPr>
          <w:rFonts w:ascii="Arial" w:hAnsi="Arial" w:cs="Arial"/>
          <w:b/>
          <w:sz w:val="20"/>
          <w:szCs w:val="20"/>
        </w:rPr>
        <w:t>Població de Catalunya segons la seva relació amb l’activitat. Mitjanes anuals</w:t>
      </w:r>
    </w:p>
    <w:tbl>
      <w:tblPr>
        <w:tblStyle w:val="Sombreadoclaro-nfasis113"/>
        <w:tblW w:w="5000" w:type="pct"/>
        <w:tblLook w:val="04A0" w:firstRow="1" w:lastRow="0" w:firstColumn="1" w:lastColumn="0" w:noHBand="0" w:noVBand="1"/>
      </w:tblPr>
      <w:tblGrid>
        <w:gridCol w:w="811"/>
        <w:gridCol w:w="1976"/>
        <w:gridCol w:w="1386"/>
        <w:gridCol w:w="1427"/>
        <w:gridCol w:w="1734"/>
        <w:gridCol w:w="1386"/>
      </w:tblGrid>
      <w:tr w:rsidR="002A7658" w:rsidRPr="00910468" w:rsidTr="000C0CE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Any</w:t>
            </w:r>
          </w:p>
        </w:tc>
        <w:tc>
          <w:tcPr>
            <w:tcW w:w="1133" w:type="pct"/>
            <w:vAlign w:val="center"/>
            <w:hideMark/>
          </w:tcPr>
          <w:p w:rsidR="002A7658" w:rsidRPr="00910468" w:rsidRDefault="002A7658" w:rsidP="000C0C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Població de 16 i més anys</w:t>
            </w:r>
          </w:p>
        </w:tc>
        <w:tc>
          <w:tcPr>
            <w:tcW w:w="795" w:type="pct"/>
            <w:vAlign w:val="center"/>
            <w:hideMark/>
          </w:tcPr>
          <w:p w:rsidR="002A7658" w:rsidRPr="00910468" w:rsidRDefault="002A7658" w:rsidP="000C0C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Població Activa</w:t>
            </w:r>
          </w:p>
        </w:tc>
        <w:tc>
          <w:tcPr>
            <w:tcW w:w="818" w:type="pct"/>
            <w:vAlign w:val="center"/>
            <w:hideMark/>
          </w:tcPr>
          <w:p w:rsidR="002A7658" w:rsidRPr="00910468" w:rsidRDefault="002A7658" w:rsidP="000C0C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Població Ocupada</w:t>
            </w:r>
          </w:p>
        </w:tc>
        <w:tc>
          <w:tcPr>
            <w:tcW w:w="994" w:type="pct"/>
            <w:vAlign w:val="center"/>
            <w:hideMark/>
          </w:tcPr>
          <w:p w:rsidR="002A7658" w:rsidRPr="00910468" w:rsidRDefault="002A7658" w:rsidP="000C0C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Població Assalariada</w:t>
            </w:r>
          </w:p>
        </w:tc>
        <w:tc>
          <w:tcPr>
            <w:tcW w:w="795" w:type="pct"/>
            <w:vAlign w:val="center"/>
            <w:hideMark/>
          </w:tcPr>
          <w:p w:rsidR="002A7658" w:rsidRPr="00910468" w:rsidRDefault="002A7658" w:rsidP="000C0C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Població Aturada</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2007</w:t>
            </w:r>
          </w:p>
        </w:tc>
        <w:tc>
          <w:tcPr>
            <w:tcW w:w="1133"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6.042,8</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3.824,1</w:t>
            </w:r>
          </w:p>
        </w:tc>
        <w:tc>
          <w:tcPr>
            <w:tcW w:w="81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3.576,6</w:t>
            </w:r>
          </w:p>
        </w:tc>
        <w:tc>
          <w:tcPr>
            <w:tcW w:w="994"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2.995,3</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247,5</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2008</w:t>
            </w:r>
          </w:p>
        </w:tc>
        <w:tc>
          <w:tcPr>
            <w:tcW w:w="1133"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6.141,6</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3.930,9</w:t>
            </w:r>
          </w:p>
        </w:tc>
        <w:tc>
          <w:tcPr>
            <w:tcW w:w="81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3.581,3</w:t>
            </w:r>
          </w:p>
        </w:tc>
        <w:tc>
          <w:tcPr>
            <w:tcW w:w="994"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2.988,4</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349,6</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2009</w:t>
            </w:r>
          </w:p>
        </w:tc>
        <w:tc>
          <w:tcPr>
            <w:tcW w:w="1133"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6.180,0</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3.927,2</w:t>
            </w:r>
          </w:p>
        </w:tc>
        <w:tc>
          <w:tcPr>
            <w:tcW w:w="81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3.290,3</w:t>
            </w:r>
          </w:p>
        </w:tc>
        <w:tc>
          <w:tcPr>
            <w:tcW w:w="994"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2.756,0</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636,9</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2010</w:t>
            </w:r>
          </w:p>
        </w:tc>
        <w:tc>
          <w:tcPr>
            <w:tcW w:w="1133"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6.186,0</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3.945,8</w:t>
            </w:r>
          </w:p>
        </w:tc>
        <w:tc>
          <w:tcPr>
            <w:tcW w:w="81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3.249,1</w:t>
            </w:r>
          </w:p>
        </w:tc>
        <w:tc>
          <w:tcPr>
            <w:tcW w:w="994"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2.732,8</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696,7</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2011</w:t>
            </w:r>
          </w:p>
        </w:tc>
        <w:tc>
          <w:tcPr>
            <w:tcW w:w="1133"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6.189,4</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3.966,8</w:t>
            </w:r>
          </w:p>
        </w:tc>
        <w:tc>
          <w:tcPr>
            <w:tcW w:w="81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3.206,8</w:t>
            </w:r>
          </w:p>
        </w:tc>
        <w:tc>
          <w:tcPr>
            <w:tcW w:w="994"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2.705,4</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760,0</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2012</w:t>
            </w:r>
          </w:p>
        </w:tc>
        <w:tc>
          <w:tcPr>
            <w:tcW w:w="1133"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6.167,6</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3.912,4</w:t>
            </w:r>
          </w:p>
        </w:tc>
        <w:tc>
          <w:tcPr>
            <w:tcW w:w="81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3.031,6</w:t>
            </w:r>
          </w:p>
        </w:tc>
        <w:tc>
          <w:tcPr>
            <w:tcW w:w="994"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2.540,6</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880,7</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2013</w:t>
            </w:r>
          </w:p>
        </w:tc>
        <w:tc>
          <w:tcPr>
            <w:tcW w:w="1133"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6.117,1</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3.862,8</w:t>
            </w:r>
          </w:p>
        </w:tc>
        <w:tc>
          <w:tcPr>
            <w:tcW w:w="81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2.969,6</w:t>
            </w:r>
          </w:p>
        </w:tc>
        <w:tc>
          <w:tcPr>
            <w:tcW w:w="994"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2.471,1</w:t>
            </w:r>
          </w:p>
        </w:tc>
        <w:tc>
          <w:tcPr>
            <w:tcW w:w="795"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893,2</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465" w:type="pct"/>
            <w:noWrap/>
            <w:vAlign w:val="center"/>
            <w:hideMark/>
          </w:tcPr>
          <w:p w:rsidR="002A7658" w:rsidRPr="00910468" w:rsidRDefault="002A7658" w:rsidP="000C0CEA">
            <w:pPr>
              <w:spacing w:after="0" w:line="240" w:lineRule="auto"/>
              <w:rPr>
                <w:color w:val="auto"/>
              </w:rPr>
            </w:pPr>
            <w:r w:rsidRPr="00910468">
              <w:rPr>
                <w:color w:val="auto"/>
              </w:rPr>
              <w:t>2014</w:t>
            </w:r>
          </w:p>
        </w:tc>
        <w:tc>
          <w:tcPr>
            <w:tcW w:w="1133"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6.075,3</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3.804,2</w:t>
            </w:r>
          </w:p>
        </w:tc>
        <w:tc>
          <w:tcPr>
            <w:tcW w:w="81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3.030,9</w:t>
            </w:r>
          </w:p>
        </w:tc>
        <w:tc>
          <w:tcPr>
            <w:tcW w:w="994"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2.511,1</w:t>
            </w:r>
          </w:p>
        </w:tc>
        <w:tc>
          <w:tcPr>
            <w:tcW w:w="795"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773,3</w:t>
            </w:r>
          </w:p>
        </w:tc>
      </w:tr>
    </w:tbl>
    <w:p w:rsidR="002A7658" w:rsidRPr="000D4044" w:rsidRDefault="002A7658" w:rsidP="0063533B">
      <w:pPr>
        <w:spacing w:line="360" w:lineRule="auto"/>
        <w:jc w:val="both"/>
        <w:rPr>
          <w:rFonts w:ascii="Arial" w:hAnsi="Arial" w:cs="Arial"/>
          <w:sz w:val="16"/>
          <w:szCs w:val="16"/>
        </w:rPr>
      </w:pPr>
      <w:r w:rsidRPr="000D4044">
        <w:rPr>
          <w:rFonts w:ascii="Arial" w:hAnsi="Arial" w:cs="Arial"/>
          <w:sz w:val="16"/>
          <w:szCs w:val="16"/>
        </w:rPr>
        <w:t>Font: Enquesta de Població Activa de l’INE.</w:t>
      </w:r>
    </w:p>
    <w:p w:rsidR="002A7658" w:rsidRPr="00D530D3" w:rsidRDefault="002A7658" w:rsidP="0063533B">
      <w:pPr>
        <w:pStyle w:val="Prrafodelista1"/>
        <w:spacing w:after="200" w:line="360" w:lineRule="auto"/>
        <w:ind w:left="0"/>
        <w:contextualSpacing w:val="0"/>
        <w:rPr>
          <w:rFonts w:ascii="Arial" w:hAnsi="Arial" w:cs="Arial"/>
        </w:rPr>
      </w:pPr>
    </w:p>
    <w:p w:rsidR="002A7658" w:rsidRPr="000D4044" w:rsidRDefault="002A7658" w:rsidP="002A7658">
      <w:pPr>
        <w:jc w:val="both"/>
        <w:rPr>
          <w:rFonts w:ascii="Arial" w:hAnsi="Arial" w:cs="Arial"/>
          <w:b/>
        </w:rPr>
      </w:pPr>
      <w:r w:rsidRPr="000D4044">
        <w:rPr>
          <w:rFonts w:ascii="Arial" w:hAnsi="Arial" w:cs="Arial"/>
          <w:b/>
        </w:rPr>
        <w:t>4.2. Taxa d’Activitat</w:t>
      </w:r>
    </w:p>
    <w:p w:rsidR="002A7658" w:rsidRPr="000D4044" w:rsidRDefault="002A7658" w:rsidP="0063533B">
      <w:pPr>
        <w:spacing w:after="0"/>
        <w:rPr>
          <w:rFonts w:ascii="Arial" w:hAnsi="Arial" w:cs="Arial"/>
          <w:b/>
          <w:sz w:val="20"/>
          <w:szCs w:val="20"/>
        </w:rPr>
      </w:pPr>
      <w:r w:rsidRPr="000D4044">
        <w:rPr>
          <w:rFonts w:ascii="Arial" w:hAnsi="Arial" w:cs="Arial"/>
          <w:b/>
          <w:sz w:val="20"/>
          <w:szCs w:val="20"/>
        </w:rPr>
        <w:t>Taxa d’activitat de 16 a 64 anys. Mitjanes Anuals</w:t>
      </w:r>
    </w:p>
    <w:p w:rsidR="002A7658" w:rsidRPr="0063533B"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429125" cy="2562225"/>
            <wp:effectExtent l="19050" t="0" r="9525" b="0"/>
            <wp:docPr id="1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A7658" w:rsidRPr="000D4044" w:rsidRDefault="002A7658" w:rsidP="0063533B">
      <w:pPr>
        <w:jc w:val="both"/>
        <w:rPr>
          <w:rFonts w:ascii="Arial" w:hAnsi="Arial" w:cs="Arial"/>
          <w:sz w:val="16"/>
          <w:szCs w:val="16"/>
        </w:rPr>
      </w:pPr>
      <w:r w:rsidRPr="000D4044">
        <w:rPr>
          <w:rFonts w:ascii="Arial" w:hAnsi="Arial" w:cs="Arial"/>
          <w:sz w:val="16"/>
          <w:szCs w:val="16"/>
        </w:rPr>
        <w:t>Font: Enquesta de Població Activa de l’INE i Eurostat.</w:t>
      </w:r>
    </w:p>
    <w:p w:rsidR="005E7F67" w:rsidRDefault="005E7F67">
      <w:pPr>
        <w:spacing w:after="0" w:line="240" w:lineRule="auto"/>
        <w:rPr>
          <w:rFonts w:ascii="Arial" w:hAnsi="Arial" w:cs="Arial"/>
        </w:rPr>
      </w:pPr>
      <w:r>
        <w:rPr>
          <w:rFonts w:ascii="Arial" w:hAnsi="Arial" w:cs="Arial"/>
        </w:rPr>
        <w:br w:type="page"/>
      </w:r>
    </w:p>
    <w:p w:rsidR="002A7658" w:rsidRDefault="002A7658" w:rsidP="002A7658">
      <w:pPr>
        <w:spacing w:after="0" w:line="240" w:lineRule="auto"/>
        <w:jc w:val="both"/>
        <w:rPr>
          <w:rFonts w:ascii="Arial" w:hAnsi="Arial" w:cs="Arial"/>
        </w:rPr>
      </w:pPr>
    </w:p>
    <w:p w:rsidR="002A7658" w:rsidRPr="000D4044" w:rsidRDefault="002A7658" w:rsidP="0063533B">
      <w:pPr>
        <w:spacing w:after="0"/>
        <w:rPr>
          <w:rFonts w:ascii="Arial" w:hAnsi="Arial" w:cs="Arial"/>
          <w:b/>
          <w:sz w:val="20"/>
          <w:szCs w:val="20"/>
        </w:rPr>
      </w:pPr>
      <w:r w:rsidRPr="000D4044">
        <w:rPr>
          <w:rFonts w:ascii="Arial" w:hAnsi="Arial" w:cs="Arial"/>
          <w:b/>
          <w:sz w:val="20"/>
          <w:szCs w:val="20"/>
        </w:rPr>
        <w:t>Taxes d’activitat de 16 a 64 anys per sexes a Catalunya. Mitjanes Anuals</w:t>
      </w:r>
    </w:p>
    <w:p w:rsidR="002A7658" w:rsidRPr="0063533B"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476750" cy="2571750"/>
            <wp:effectExtent l="19050" t="0" r="19050" b="0"/>
            <wp:docPr id="1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A7658" w:rsidRPr="000D4044" w:rsidRDefault="002A7658" w:rsidP="0063533B">
      <w:pPr>
        <w:jc w:val="both"/>
        <w:rPr>
          <w:rFonts w:ascii="Arial" w:hAnsi="Arial" w:cs="Arial"/>
          <w:sz w:val="16"/>
          <w:szCs w:val="16"/>
        </w:rPr>
      </w:pPr>
      <w:r w:rsidRPr="000D4044">
        <w:rPr>
          <w:rFonts w:ascii="Arial" w:hAnsi="Arial" w:cs="Arial"/>
          <w:sz w:val="16"/>
          <w:szCs w:val="16"/>
        </w:rPr>
        <w:t>Font: Enquesta de Població Activa de l’INE.</w:t>
      </w:r>
    </w:p>
    <w:p w:rsidR="00910468" w:rsidRDefault="00910468">
      <w:pPr>
        <w:spacing w:after="0" w:line="240" w:lineRule="auto"/>
        <w:rPr>
          <w:rFonts w:ascii="Arial" w:hAnsi="Arial" w:cs="Arial"/>
        </w:rPr>
      </w:pPr>
    </w:p>
    <w:p w:rsidR="002A7658" w:rsidRPr="00AA2BE1" w:rsidRDefault="002A7658" w:rsidP="0063533B">
      <w:pPr>
        <w:jc w:val="both"/>
        <w:rPr>
          <w:rFonts w:ascii="Arial" w:hAnsi="Arial" w:cs="Arial"/>
        </w:rPr>
      </w:pPr>
    </w:p>
    <w:p w:rsidR="002A7658" w:rsidRPr="000D4044" w:rsidRDefault="002A7658" w:rsidP="0063533B">
      <w:pPr>
        <w:spacing w:after="0"/>
        <w:rPr>
          <w:rFonts w:ascii="Arial" w:hAnsi="Arial" w:cs="Arial"/>
          <w:b/>
          <w:sz w:val="20"/>
          <w:szCs w:val="20"/>
        </w:rPr>
      </w:pPr>
      <w:r w:rsidRPr="000D4044">
        <w:rPr>
          <w:rFonts w:ascii="Arial" w:hAnsi="Arial" w:cs="Arial"/>
          <w:b/>
          <w:sz w:val="20"/>
          <w:szCs w:val="20"/>
        </w:rPr>
        <w:t>Taxes d’activitat per edats a Catalunya. Mitjanes Anuals</w:t>
      </w:r>
    </w:p>
    <w:p w:rsidR="002A7658" w:rsidRPr="0063533B"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419600" cy="2609850"/>
            <wp:effectExtent l="19050" t="0" r="19050" b="0"/>
            <wp:docPr id="6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A7658" w:rsidRPr="000D4044" w:rsidRDefault="002A7658" w:rsidP="0063533B">
      <w:pPr>
        <w:jc w:val="both"/>
        <w:rPr>
          <w:rFonts w:ascii="Arial" w:hAnsi="Arial" w:cs="Arial"/>
          <w:sz w:val="16"/>
          <w:szCs w:val="16"/>
        </w:rPr>
      </w:pPr>
      <w:r w:rsidRPr="000D4044">
        <w:rPr>
          <w:rFonts w:ascii="Arial" w:hAnsi="Arial" w:cs="Arial"/>
          <w:sz w:val="16"/>
          <w:szCs w:val="16"/>
        </w:rPr>
        <w:t>Font: Enquesta de Població Activa de l’INE.</w:t>
      </w:r>
    </w:p>
    <w:p w:rsidR="005E7F67" w:rsidRDefault="005E7F67">
      <w:pPr>
        <w:spacing w:after="0" w:line="240" w:lineRule="auto"/>
        <w:rPr>
          <w:rFonts w:ascii="Arial" w:eastAsia="Times New Roman" w:hAnsi="Arial" w:cs="Arial"/>
          <w:lang w:eastAsia="ca-ES"/>
        </w:rPr>
      </w:pPr>
      <w:r>
        <w:rPr>
          <w:rFonts w:ascii="Arial" w:eastAsia="Times New Roman" w:hAnsi="Arial" w:cs="Arial"/>
          <w:lang w:eastAsia="ca-ES"/>
        </w:rPr>
        <w:br w:type="page"/>
      </w:r>
    </w:p>
    <w:p w:rsidR="002A7658" w:rsidRPr="00AA2BE1" w:rsidRDefault="002A7658" w:rsidP="0063533B">
      <w:pPr>
        <w:jc w:val="both"/>
        <w:rPr>
          <w:rFonts w:ascii="Arial" w:eastAsia="Times New Roman" w:hAnsi="Arial" w:cs="Arial"/>
          <w:lang w:eastAsia="ca-ES"/>
        </w:rPr>
      </w:pPr>
    </w:p>
    <w:p w:rsidR="002A7658" w:rsidRPr="000D4044" w:rsidRDefault="002A7658" w:rsidP="0063533B">
      <w:pPr>
        <w:spacing w:after="0"/>
        <w:rPr>
          <w:rFonts w:ascii="Arial" w:eastAsia="Times New Roman" w:hAnsi="Arial" w:cs="Arial"/>
          <w:b/>
          <w:sz w:val="20"/>
          <w:szCs w:val="20"/>
          <w:lang w:eastAsia="ca-ES"/>
        </w:rPr>
      </w:pPr>
      <w:r w:rsidRPr="000D4044">
        <w:rPr>
          <w:rFonts w:ascii="Arial" w:eastAsia="Times New Roman" w:hAnsi="Arial" w:cs="Arial"/>
          <w:b/>
          <w:sz w:val="20"/>
          <w:szCs w:val="20"/>
          <w:lang w:eastAsia="ca-ES"/>
        </w:rPr>
        <w:t>Taxa d'activitat de 16 a 64 anys per nacionalitats a Catalunya. Mitjanes anuals</w:t>
      </w:r>
    </w:p>
    <w:p w:rsidR="002A7658" w:rsidRPr="0063533B" w:rsidRDefault="002A7658" w:rsidP="002A7658">
      <w:pPr>
        <w:spacing w:after="0"/>
        <w:rPr>
          <w:rFonts w:ascii="Arial" w:hAnsi="Arial" w:cs="Arial"/>
          <w:sz w:val="16"/>
          <w:szCs w:val="16"/>
        </w:rPr>
      </w:pPr>
      <w:r w:rsidRPr="000D4044">
        <w:rPr>
          <w:rFonts w:ascii="Arial" w:hAnsi="Arial" w:cs="Arial"/>
          <w:noProof/>
          <w:lang w:eastAsia="ca-ES"/>
        </w:rPr>
        <w:drawing>
          <wp:inline distT="0" distB="0" distL="0" distR="0">
            <wp:extent cx="4314825" cy="2581275"/>
            <wp:effectExtent l="19050" t="0" r="9525" b="0"/>
            <wp:docPr id="6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A7658" w:rsidRPr="000D4044" w:rsidRDefault="002A7658" w:rsidP="0063533B">
      <w:pPr>
        <w:spacing w:line="360" w:lineRule="auto"/>
        <w:jc w:val="both"/>
        <w:rPr>
          <w:rFonts w:ascii="Arial" w:hAnsi="Arial" w:cs="Arial"/>
          <w:sz w:val="16"/>
          <w:szCs w:val="16"/>
        </w:rPr>
      </w:pPr>
      <w:r w:rsidRPr="000D4044">
        <w:rPr>
          <w:rFonts w:ascii="Arial" w:hAnsi="Arial" w:cs="Arial"/>
          <w:sz w:val="16"/>
          <w:szCs w:val="16"/>
        </w:rPr>
        <w:t>Font: Elaboració pròpia a partir de dades d’IDESCAT.</w:t>
      </w:r>
    </w:p>
    <w:p w:rsidR="00910468" w:rsidRDefault="00910468">
      <w:pPr>
        <w:spacing w:after="0" w:line="240" w:lineRule="auto"/>
        <w:rPr>
          <w:rFonts w:ascii="Arial" w:hAnsi="Arial" w:cs="Arial"/>
        </w:rPr>
      </w:pPr>
    </w:p>
    <w:p w:rsidR="002A7658" w:rsidRPr="000D4044" w:rsidRDefault="002A7658" w:rsidP="0063533B">
      <w:pPr>
        <w:spacing w:line="360" w:lineRule="auto"/>
        <w:jc w:val="both"/>
        <w:rPr>
          <w:rFonts w:ascii="Arial" w:hAnsi="Arial" w:cs="Arial"/>
        </w:rPr>
      </w:pPr>
    </w:p>
    <w:p w:rsidR="002A7658" w:rsidRPr="000D4044" w:rsidRDefault="002A7658" w:rsidP="0063533B">
      <w:pPr>
        <w:pStyle w:val="Prrafodelista1"/>
        <w:spacing w:after="200" w:line="360" w:lineRule="auto"/>
        <w:ind w:left="0"/>
        <w:contextualSpacing w:val="0"/>
        <w:rPr>
          <w:rFonts w:ascii="Arial" w:hAnsi="Arial" w:cs="Arial"/>
          <w:b/>
        </w:rPr>
      </w:pPr>
      <w:r w:rsidRPr="000D4044">
        <w:rPr>
          <w:rFonts w:ascii="Arial" w:hAnsi="Arial" w:cs="Arial"/>
          <w:b/>
        </w:rPr>
        <w:t>4.3. Taxa d’ocupació</w:t>
      </w:r>
    </w:p>
    <w:p w:rsidR="002A7658" w:rsidRPr="000D4044" w:rsidRDefault="002A7658" w:rsidP="002A7658">
      <w:pPr>
        <w:spacing w:after="0"/>
        <w:jc w:val="both"/>
        <w:rPr>
          <w:rFonts w:ascii="Arial" w:hAnsi="Arial" w:cs="Arial"/>
          <w:b/>
          <w:sz w:val="20"/>
          <w:szCs w:val="20"/>
        </w:rPr>
      </w:pPr>
      <w:r w:rsidRPr="000D4044">
        <w:rPr>
          <w:rFonts w:ascii="Arial" w:hAnsi="Arial" w:cs="Arial"/>
          <w:b/>
          <w:sz w:val="20"/>
          <w:szCs w:val="20"/>
        </w:rPr>
        <w:t xml:space="preserve">Taxa d’ocupació de 16 a 64 anys. </w:t>
      </w:r>
      <w:r w:rsidRPr="000D4044">
        <w:rPr>
          <w:rFonts w:ascii="Arial" w:eastAsia="Times New Roman" w:hAnsi="Arial" w:cs="Arial"/>
          <w:b/>
          <w:sz w:val="20"/>
          <w:szCs w:val="20"/>
          <w:lang w:eastAsia="ca-ES"/>
        </w:rPr>
        <w:t>Mitjanes anuals</w:t>
      </w:r>
    </w:p>
    <w:p w:rsidR="002A7658" w:rsidRPr="006C37E9" w:rsidRDefault="002A7658" w:rsidP="002A7658">
      <w:pPr>
        <w:pStyle w:val="Prrafodelista1"/>
        <w:ind w:left="0"/>
        <w:jc w:val="left"/>
        <w:rPr>
          <w:rFonts w:ascii="Arial" w:hAnsi="Arial" w:cs="Arial"/>
          <w:sz w:val="16"/>
          <w:szCs w:val="16"/>
        </w:rPr>
      </w:pPr>
      <w:r w:rsidRPr="000D4044">
        <w:rPr>
          <w:rFonts w:ascii="Arial" w:hAnsi="Arial" w:cs="Arial"/>
          <w:noProof/>
          <w:lang w:eastAsia="ca-ES"/>
        </w:rPr>
        <w:drawing>
          <wp:inline distT="0" distB="0" distL="0" distR="0">
            <wp:extent cx="4572000" cy="2743200"/>
            <wp:effectExtent l="19050" t="0" r="19050" b="0"/>
            <wp:docPr id="1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A7658" w:rsidRPr="000D4044" w:rsidRDefault="002A7658" w:rsidP="0063533B">
      <w:pPr>
        <w:spacing w:line="360" w:lineRule="auto"/>
        <w:jc w:val="both"/>
        <w:rPr>
          <w:rFonts w:ascii="Arial" w:hAnsi="Arial" w:cs="Arial"/>
          <w:sz w:val="16"/>
          <w:szCs w:val="16"/>
        </w:rPr>
      </w:pPr>
      <w:r w:rsidRPr="000D4044">
        <w:rPr>
          <w:rFonts w:ascii="Arial" w:hAnsi="Arial" w:cs="Arial"/>
          <w:sz w:val="16"/>
          <w:szCs w:val="16"/>
        </w:rPr>
        <w:t>Font: Enquesta de Població Activa de l’INE i Eurostat.</w:t>
      </w:r>
    </w:p>
    <w:p w:rsidR="005E7F67" w:rsidRDefault="005E7F67">
      <w:pPr>
        <w:spacing w:after="0" w:line="240" w:lineRule="auto"/>
        <w:rPr>
          <w:rFonts w:ascii="Arial" w:hAnsi="Arial" w:cs="Arial"/>
          <w:b/>
          <w:sz w:val="20"/>
          <w:szCs w:val="20"/>
        </w:rPr>
      </w:pPr>
      <w:r>
        <w:rPr>
          <w:rFonts w:ascii="Arial" w:hAnsi="Arial" w:cs="Arial"/>
          <w:b/>
          <w:sz w:val="20"/>
          <w:szCs w:val="20"/>
        </w:rPr>
        <w:br w:type="page"/>
      </w:r>
    </w:p>
    <w:p w:rsidR="006C37E9" w:rsidRDefault="006C37E9" w:rsidP="0063533B">
      <w:pPr>
        <w:spacing w:line="360" w:lineRule="auto"/>
        <w:jc w:val="both"/>
        <w:rPr>
          <w:rFonts w:ascii="Arial" w:hAnsi="Arial" w:cs="Arial"/>
          <w:b/>
          <w:sz w:val="20"/>
          <w:szCs w:val="20"/>
        </w:rPr>
      </w:pPr>
    </w:p>
    <w:p w:rsidR="002A7658" w:rsidRPr="000D4044" w:rsidRDefault="002A7658" w:rsidP="0063533B">
      <w:pPr>
        <w:spacing w:after="0"/>
        <w:rPr>
          <w:rFonts w:ascii="Arial" w:hAnsi="Arial" w:cs="Arial"/>
          <w:b/>
          <w:sz w:val="20"/>
          <w:szCs w:val="20"/>
        </w:rPr>
      </w:pPr>
      <w:r w:rsidRPr="000D4044">
        <w:rPr>
          <w:rFonts w:ascii="Arial" w:hAnsi="Arial" w:cs="Arial"/>
          <w:b/>
          <w:sz w:val="20"/>
          <w:szCs w:val="20"/>
        </w:rPr>
        <w:t xml:space="preserve">Taxes d’ocupació de 16 a 64 anys per sexes a Catalunya. </w:t>
      </w:r>
      <w:r w:rsidRPr="000D4044">
        <w:rPr>
          <w:rFonts w:ascii="Arial" w:eastAsia="Times New Roman" w:hAnsi="Arial" w:cs="Arial"/>
          <w:b/>
          <w:sz w:val="20"/>
          <w:szCs w:val="20"/>
          <w:lang w:eastAsia="ca-ES"/>
        </w:rPr>
        <w:t>Mitjanes anuals</w:t>
      </w:r>
    </w:p>
    <w:p w:rsidR="002A7658" w:rsidRPr="0063533B"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86275" cy="2571750"/>
            <wp:effectExtent l="19050" t="0" r="9525" b="0"/>
            <wp:docPr id="1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A7658" w:rsidRPr="000D4044" w:rsidRDefault="002A7658" w:rsidP="0063533B">
      <w:pPr>
        <w:spacing w:line="360" w:lineRule="auto"/>
        <w:jc w:val="both"/>
        <w:rPr>
          <w:rFonts w:ascii="Arial" w:hAnsi="Arial" w:cs="Arial"/>
          <w:sz w:val="16"/>
          <w:szCs w:val="16"/>
        </w:rPr>
      </w:pPr>
      <w:r w:rsidRPr="000D4044">
        <w:rPr>
          <w:rFonts w:ascii="Arial" w:hAnsi="Arial" w:cs="Arial"/>
          <w:sz w:val="16"/>
          <w:szCs w:val="16"/>
        </w:rPr>
        <w:t>Font: Enquesta de Població Activa de l’INE.</w:t>
      </w:r>
    </w:p>
    <w:p w:rsidR="00910468" w:rsidRDefault="00910468">
      <w:pPr>
        <w:spacing w:after="0" w:line="240" w:lineRule="auto"/>
        <w:rPr>
          <w:rFonts w:ascii="Arial" w:hAnsi="Arial" w:cs="Arial"/>
        </w:rPr>
      </w:pPr>
    </w:p>
    <w:p w:rsidR="002A7658" w:rsidRPr="000D4044" w:rsidRDefault="002A7658" w:rsidP="0063533B">
      <w:pPr>
        <w:pStyle w:val="Prrafodelista1"/>
        <w:spacing w:after="200" w:line="360" w:lineRule="auto"/>
        <w:ind w:left="0"/>
        <w:rPr>
          <w:rFonts w:ascii="Arial" w:hAnsi="Arial" w:cs="Arial"/>
        </w:rPr>
      </w:pPr>
    </w:p>
    <w:p w:rsidR="002A7658" w:rsidRPr="000D4044" w:rsidRDefault="002A7658" w:rsidP="002A7658">
      <w:pPr>
        <w:spacing w:after="0"/>
        <w:jc w:val="both"/>
        <w:rPr>
          <w:rFonts w:ascii="Arial" w:eastAsia="Times New Roman" w:hAnsi="Arial" w:cs="Arial"/>
          <w:b/>
          <w:sz w:val="20"/>
          <w:szCs w:val="20"/>
          <w:lang w:eastAsia="ca-ES"/>
        </w:rPr>
      </w:pPr>
      <w:r w:rsidRPr="000D4044">
        <w:rPr>
          <w:rFonts w:ascii="Arial" w:hAnsi="Arial" w:cs="Arial"/>
          <w:b/>
          <w:sz w:val="20"/>
          <w:szCs w:val="20"/>
        </w:rPr>
        <w:t xml:space="preserve">Taxes d’ocupació per edats a Catalunya. </w:t>
      </w:r>
      <w:r w:rsidRPr="000D4044">
        <w:rPr>
          <w:rFonts w:ascii="Arial" w:eastAsia="Times New Roman" w:hAnsi="Arial" w:cs="Arial"/>
          <w:b/>
          <w:sz w:val="20"/>
          <w:szCs w:val="20"/>
          <w:lang w:eastAsia="ca-ES"/>
        </w:rPr>
        <w:t>Mitjanes anuals</w:t>
      </w:r>
    </w:p>
    <w:p w:rsidR="002A7658" w:rsidRPr="0063533B"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467225" cy="2619375"/>
            <wp:effectExtent l="19050" t="0" r="9525" b="0"/>
            <wp:docPr id="66"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A7658" w:rsidRPr="000D4044" w:rsidRDefault="002A7658" w:rsidP="0063533B">
      <w:pPr>
        <w:spacing w:line="360" w:lineRule="auto"/>
        <w:jc w:val="both"/>
        <w:rPr>
          <w:rFonts w:ascii="Arial" w:hAnsi="Arial" w:cs="Arial"/>
          <w:sz w:val="16"/>
          <w:szCs w:val="16"/>
        </w:rPr>
      </w:pPr>
      <w:r w:rsidRPr="000D4044">
        <w:rPr>
          <w:rFonts w:ascii="Arial" w:hAnsi="Arial" w:cs="Arial"/>
          <w:sz w:val="16"/>
          <w:szCs w:val="16"/>
        </w:rPr>
        <w:t>Font: Enquesta de Població Activa de l’INE.</w:t>
      </w:r>
    </w:p>
    <w:p w:rsidR="005E7F67" w:rsidRDefault="005E7F67">
      <w:pPr>
        <w:spacing w:after="0" w:line="240" w:lineRule="auto"/>
        <w:rPr>
          <w:rFonts w:ascii="Arial" w:eastAsia="Times New Roman" w:hAnsi="Arial" w:cs="Arial"/>
          <w:lang w:eastAsia="ca-ES"/>
        </w:rPr>
      </w:pPr>
      <w:r>
        <w:rPr>
          <w:rFonts w:ascii="Arial" w:eastAsia="Times New Roman" w:hAnsi="Arial" w:cs="Arial"/>
          <w:lang w:eastAsia="ca-ES"/>
        </w:rPr>
        <w:br w:type="page"/>
      </w:r>
    </w:p>
    <w:p w:rsidR="002A7658" w:rsidRPr="00AA2BE1" w:rsidRDefault="002A7658" w:rsidP="0063533B">
      <w:pPr>
        <w:spacing w:line="360" w:lineRule="auto"/>
        <w:jc w:val="both"/>
        <w:rPr>
          <w:rFonts w:ascii="Arial" w:eastAsia="Times New Roman" w:hAnsi="Arial" w:cs="Arial"/>
          <w:lang w:eastAsia="ca-ES"/>
        </w:rPr>
      </w:pPr>
    </w:p>
    <w:p w:rsidR="002A7658" w:rsidRPr="000D4044" w:rsidRDefault="002A7658" w:rsidP="0063533B">
      <w:pPr>
        <w:spacing w:after="0"/>
        <w:rPr>
          <w:rFonts w:ascii="Arial" w:eastAsia="Times New Roman" w:hAnsi="Arial" w:cs="Arial"/>
          <w:b/>
          <w:sz w:val="20"/>
          <w:szCs w:val="20"/>
          <w:lang w:eastAsia="ca-ES"/>
        </w:rPr>
      </w:pPr>
      <w:r w:rsidRPr="000D4044">
        <w:rPr>
          <w:rFonts w:ascii="Arial" w:eastAsia="Times New Roman" w:hAnsi="Arial" w:cs="Arial"/>
          <w:b/>
          <w:sz w:val="20"/>
          <w:szCs w:val="20"/>
          <w:lang w:eastAsia="ca-ES"/>
        </w:rPr>
        <w:t>Taxa d'ocupació de 16 a 64 anys per nacionalitats a Catalunya. Mitjanes anuals</w:t>
      </w:r>
    </w:p>
    <w:p w:rsidR="002A7658" w:rsidRPr="0063533B"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95800" cy="2743200"/>
            <wp:effectExtent l="19050" t="0" r="19050" b="0"/>
            <wp:docPr id="67"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A7658" w:rsidRPr="000D4044" w:rsidRDefault="002A7658" w:rsidP="0063533B">
      <w:pPr>
        <w:spacing w:line="360" w:lineRule="auto"/>
        <w:jc w:val="both"/>
        <w:rPr>
          <w:rFonts w:ascii="Arial" w:hAnsi="Arial" w:cs="Arial"/>
          <w:sz w:val="16"/>
          <w:szCs w:val="16"/>
        </w:rPr>
      </w:pPr>
      <w:r w:rsidRPr="000D4044">
        <w:rPr>
          <w:rFonts w:ascii="Arial" w:hAnsi="Arial" w:cs="Arial"/>
          <w:sz w:val="16"/>
          <w:szCs w:val="16"/>
        </w:rPr>
        <w:t>Font: Elaboració pròpia a partir de dades d’IDESCAT.</w:t>
      </w:r>
    </w:p>
    <w:p w:rsidR="00910468" w:rsidRDefault="00910468">
      <w:pPr>
        <w:spacing w:after="0" w:line="240" w:lineRule="auto"/>
        <w:rPr>
          <w:rFonts w:ascii="Arial" w:hAnsi="Arial" w:cs="Arial"/>
        </w:rPr>
      </w:pPr>
    </w:p>
    <w:p w:rsidR="002A7658" w:rsidRDefault="002A7658" w:rsidP="0063533B">
      <w:pPr>
        <w:spacing w:line="360" w:lineRule="auto"/>
        <w:jc w:val="both"/>
        <w:rPr>
          <w:rFonts w:ascii="Arial" w:hAnsi="Arial" w:cs="Arial"/>
        </w:rPr>
      </w:pPr>
    </w:p>
    <w:p w:rsidR="002A7658" w:rsidRDefault="002A7658" w:rsidP="0063533B">
      <w:pPr>
        <w:pStyle w:val="Prrafodelista1"/>
        <w:spacing w:after="200" w:line="360" w:lineRule="auto"/>
        <w:ind w:left="0"/>
        <w:contextualSpacing w:val="0"/>
        <w:rPr>
          <w:rFonts w:ascii="Arial" w:hAnsi="Arial" w:cs="Arial"/>
          <w:b/>
        </w:rPr>
      </w:pPr>
      <w:r w:rsidRPr="000D4044">
        <w:rPr>
          <w:rFonts w:ascii="Arial" w:hAnsi="Arial" w:cs="Arial"/>
          <w:b/>
        </w:rPr>
        <w:t>4.4. Taxa d’atur</w:t>
      </w:r>
    </w:p>
    <w:p w:rsidR="00910468" w:rsidRPr="000D4044" w:rsidRDefault="00910468" w:rsidP="0063533B">
      <w:pPr>
        <w:pStyle w:val="Prrafodelista1"/>
        <w:spacing w:after="200" w:line="360" w:lineRule="auto"/>
        <w:ind w:left="0"/>
        <w:contextualSpacing w:val="0"/>
        <w:rPr>
          <w:rFonts w:ascii="Arial" w:hAnsi="Arial" w:cs="Arial"/>
          <w:b/>
        </w:rPr>
      </w:pPr>
    </w:p>
    <w:p w:rsidR="002A7658" w:rsidRPr="000D4044" w:rsidRDefault="002A7658" w:rsidP="0063533B">
      <w:pPr>
        <w:spacing w:after="0"/>
        <w:rPr>
          <w:rFonts w:ascii="Arial" w:hAnsi="Arial" w:cs="Arial"/>
          <w:b/>
          <w:sz w:val="20"/>
          <w:szCs w:val="20"/>
        </w:rPr>
      </w:pPr>
      <w:r w:rsidRPr="000D4044">
        <w:rPr>
          <w:rFonts w:ascii="Arial" w:hAnsi="Arial" w:cs="Arial"/>
          <w:b/>
          <w:sz w:val="20"/>
          <w:szCs w:val="20"/>
        </w:rPr>
        <w:t xml:space="preserve">Taxa d’atur de 16 a 64 anys. </w:t>
      </w:r>
      <w:r w:rsidRPr="000D4044">
        <w:rPr>
          <w:rFonts w:ascii="Arial" w:eastAsia="Times New Roman" w:hAnsi="Arial" w:cs="Arial"/>
          <w:b/>
          <w:sz w:val="20"/>
          <w:szCs w:val="20"/>
          <w:lang w:eastAsia="ca-ES"/>
        </w:rPr>
        <w:t>Mitjanes anuals</w:t>
      </w:r>
    </w:p>
    <w:p w:rsidR="002A7658" w:rsidRPr="0088689E"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91025" cy="2590800"/>
            <wp:effectExtent l="19050" t="0" r="9525" b="0"/>
            <wp:docPr id="68"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A7658" w:rsidRPr="000D4044" w:rsidRDefault="002A7658" w:rsidP="0088689E">
      <w:pPr>
        <w:spacing w:line="360" w:lineRule="auto"/>
        <w:ind w:left="142"/>
        <w:jc w:val="both"/>
        <w:rPr>
          <w:rFonts w:ascii="Arial" w:hAnsi="Arial" w:cs="Arial"/>
          <w:sz w:val="16"/>
          <w:szCs w:val="16"/>
        </w:rPr>
      </w:pPr>
      <w:r w:rsidRPr="000D4044">
        <w:rPr>
          <w:rFonts w:ascii="Arial" w:hAnsi="Arial" w:cs="Arial"/>
          <w:sz w:val="16"/>
          <w:szCs w:val="16"/>
        </w:rPr>
        <w:t>Font: Enquesta de Població Activa de l’INE i Eurostat.</w:t>
      </w:r>
    </w:p>
    <w:p w:rsidR="005E7F67" w:rsidRDefault="005E7F67">
      <w:pPr>
        <w:spacing w:after="0" w:line="240" w:lineRule="auto"/>
        <w:rPr>
          <w:rFonts w:ascii="Arial" w:hAnsi="Arial" w:cs="Arial"/>
        </w:rPr>
      </w:pPr>
      <w:r>
        <w:rPr>
          <w:rFonts w:ascii="Arial" w:hAnsi="Arial" w:cs="Arial"/>
        </w:rPr>
        <w:br w:type="page"/>
      </w:r>
    </w:p>
    <w:p w:rsidR="006C37E9" w:rsidRDefault="006C37E9" w:rsidP="0088689E">
      <w:pPr>
        <w:pStyle w:val="Prrafodelista1"/>
        <w:spacing w:after="200" w:line="360" w:lineRule="auto"/>
        <w:ind w:left="0"/>
        <w:rPr>
          <w:rFonts w:ascii="Arial" w:hAnsi="Arial" w:cs="Arial"/>
        </w:rPr>
      </w:pPr>
    </w:p>
    <w:p w:rsidR="002A7658" w:rsidRPr="000D4044" w:rsidRDefault="002A7658" w:rsidP="0088689E">
      <w:pPr>
        <w:spacing w:after="0"/>
        <w:rPr>
          <w:rFonts w:ascii="Arial" w:hAnsi="Arial" w:cs="Arial"/>
          <w:b/>
          <w:sz w:val="20"/>
          <w:szCs w:val="20"/>
        </w:rPr>
      </w:pPr>
      <w:r w:rsidRPr="000D4044">
        <w:rPr>
          <w:rFonts w:ascii="Arial" w:hAnsi="Arial" w:cs="Arial"/>
          <w:b/>
          <w:sz w:val="20"/>
          <w:szCs w:val="20"/>
        </w:rPr>
        <w:t xml:space="preserve">Taxes d’atur de 16 a 64 anys per sexes a Catalunya. </w:t>
      </w:r>
      <w:r w:rsidRPr="000D4044">
        <w:rPr>
          <w:rFonts w:ascii="Arial" w:eastAsia="Times New Roman" w:hAnsi="Arial" w:cs="Arial"/>
          <w:b/>
          <w:sz w:val="20"/>
          <w:szCs w:val="20"/>
          <w:lang w:eastAsia="ca-ES"/>
        </w:rPr>
        <w:t>Mitjanes anuals</w:t>
      </w:r>
    </w:p>
    <w:p w:rsidR="002A7658" w:rsidRPr="0088689E"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91025" cy="2590800"/>
            <wp:effectExtent l="19050" t="0" r="9525" b="0"/>
            <wp:docPr id="69"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A7658" w:rsidRPr="000D4044" w:rsidRDefault="002A7658" w:rsidP="0088689E">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Enquesta de Població Activa de l’INE.</w:t>
      </w:r>
    </w:p>
    <w:p w:rsidR="00910468" w:rsidRDefault="00910468">
      <w:pPr>
        <w:spacing w:after="0" w:line="240" w:lineRule="auto"/>
        <w:rPr>
          <w:rFonts w:ascii="Arial" w:hAnsi="Arial" w:cs="Arial"/>
        </w:rPr>
      </w:pPr>
    </w:p>
    <w:p w:rsidR="002A7658" w:rsidRPr="000D4044" w:rsidRDefault="002A7658" w:rsidP="0088689E">
      <w:pPr>
        <w:pStyle w:val="Prrafodelista1"/>
        <w:spacing w:after="200" w:line="360" w:lineRule="auto"/>
        <w:ind w:left="0"/>
        <w:contextualSpacing w:val="0"/>
        <w:rPr>
          <w:rFonts w:ascii="Arial" w:hAnsi="Arial" w:cs="Arial"/>
        </w:rPr>
      </w:pPr>
    </w:p>
    <w:p w:rsidR="002A7658" w:rsidRPr="000D4044" w:rsidRDefault="002A7658" w:rsidP="0088689E">
      <w:pPr>
        <w:spacing w:after="0"/>
        <w:rPr>
          <w:rFonts w:ascii="Arial" w:hAnsi="Arial" w:cs="Arial"/>
          <w:b/>
          <w:sz w:val="20"/>
          <w:szCs w:val="20"/>
        </w:rPr>
      </w:pPr>
      <w:r w:rsidRPr="000D4044">
        <w:rPr>
          <w:rFonts w:ascii="Arial" w:hAnsi="Arial" w:cs="Arial"/>
          <w:b/>
          <w:sz w:val="20"/>
          <w:szCs w:val="20"/>
        </w:rPr>
        <w:t xml:space="preserve">Taxes d’atur per edats a Catalunya. </w:t>
      </w:r>
      <w:r w:rsidRPr="000D4044">
        <w:rPr>
          <w:rFonts w:ascii="Arial" w:eastAsia="Times New Roman" w:hAnsi="Arial" w:cs="Arial"/>
          <w:b/>
          <w:sz w:val="20"/>
          <w:szCs w:val="20"/>
          <w:lang w:eastAsia="ca-ES"/>
        </w:rPr>
        <w:t>Mitjanes anuals</w:t>
      </w:r>
    </w:p>
    <w:p w:rsidR="002A7658" w:rsidRPr="0088689E"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486275" cy="2695575"/>
            <wp:effectExtent l="19050" t="0" r="9525" b="0"/>
            <wp:docPr id="7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A7658" w:rsidRPr="000D4044" w:rsidRDefault="002A7658" w:rsidP="0088689E">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Enquesta de Població Activa de l’INE.</w:t>
      </w:r>
    </w:p>
    <w:p w:rsidR="005E7F67" w:rsidRDefault="005E7F67">
      <w:pPr>
        <w:spacing w:after="0" w:line="240" w:lineRule="auto"/>
        <w:rPr>
          <w:rFonts w:ascii="Arial" w:hAnsi="Arial" w:cs="Arial"/>
        </w:rPr>
      </w:pPr>
      <w:r>
        <w:rPr>
          <w:rFonts w:ascii="Arial" w:hAnsi="Arial" w:cs="Arial"/>
        </w:rPr>
        <w:br w:type="page"/>
      </w:r>
    </w:p>
    <w:p w:rsidR="002A7658" w:rsidRPr="00AA2BE1" w:rsidRDefault="002A7658" w:rsidP="0088689E">
      <w:pPr>
        <w:tabs>
          <w:tab w:val="left" w:pos="3255"/>
        </w:tabs>
        <w:spacing w:line="360" w:lineRule="auto"/>
        <w:jc w:val="both"/>
        <w:rPr>
          <w:rFonts w:ascii="Arial" w:hAnsi="Arial" w:cs="Arial"/>
        </w:rPr>
      </w:pPr>
    </w:p>
    <w:p w:rsidR="002A7658" w:rsidRPr="000D4044" w:rsidRDefault="002A7658" w:rsidP="0088689E">
      <w:pPr>
        <w:spacing w:after="0"/>
        <w:rPr>
          <w:rFonts w:ascii="Arial" w:hAnsi="Arial" w:cs="Arial"/>
          <w:b/>
          <w:sz w:val="20"/>
          <w:szCs w:val="20"/>
        </w:rPr>
      </w:pPr>
      <w:r w:rsidRPr="000D4044">
        <w:rPr>
          <w:rFonts w:ascii="Arial" w:hAnsi="Arial" w:cs="Arial"/>
          <w:b/>
          <w:sz w:val="20"/>
          <w:szCs w:val="20"/>
        </w:rPr>
        <w:t xml:space="preserve">Taxes d’atur de 16 a 64 anys per nacionalitat a Catalunya. </w:t>
      </w:r>
      <w:r w:rsidRPr="000D4044">
        <w:rPr>
          <w:rFonts w:ascii="Arial" w:eastAsia="Times New Roman" w:hAnsi="Arial" w:cs="Arial"/>
          <w:b/>
          <w:sz w:val="20"/>
          <w:szCs w:val="20"/>
          <w:lang w:eastAsia="ca-ES"/>
        </w:rPr>
        <w:t>4t trimestre de cada any</w:t>
      </w:r>
    </w:p>
    <w:p w:rsidR="002A7658" w:rsidRPr="0088689E"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81500" cy="2667000"/>
            <wp:effectExtent l="19050" t="0" r="19050" b="0"/>
            <wp:docPr id="7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A7658" w:rsidRDefault="002A7658" w:rsidP="0088689E">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Elaboració pròpia a partir de l’explotació de les microdades de la EPA.</w:t>
      </w:r>
    </w:p>
    <w:p w:rsidR="00910468" w:rsidRDefault="00910468">
      <w:pPr>
        <w:spacing w:after="0" w:line="240" w:lineRule="auto"/>
        <w:rPr>
          <w:rFonts w:ascii="Arial" w:hAnsi="Arial" w:cs="Arial"/>
        </w:rPr>
      </w:pPr>
    </w:p>
    <w:p w:rsidR="00BD28E7" w:rsidRDefault="00BD28E7">
      <w:pPr>
        <w:spacing w:after="0" w:line="240" w:lineRule="auto"/>
        <w:rPr>
          <w:rFonts w:ascii="Arial" w:hAnsi="Arial" w:cs="Arial"/>
        </w:rPr>
      </w:pPr>
    </w:p>
    <w:p w:rsidR="00BD28E7" w:rsidRDefault="00BD28E7">
      <w:pPr>
        <w:spacing w:after="0" w:line="240" w:lineRule="auto"/>
        <w:rPr>
          <w:rFonts w:ascii="Arial" w:hAnsi="Arial" w:cs="Arial"/>
        </w:rPr>
      </w:pPr>
    </w:p>
    <w:p w:rsidR="00593AD1" w:rsidRPr="00BD28E7" w:rsidRDefault="00BD28E7">
      <w:pPr>
        <w:spacing w:after="0" w:line="240" w:lineRule="auto"/>
        <w:rPr>
          <w:rFonts w:ascii="Arial" w:hAnsi="Arial" w:cs="Arial"/>
          <w:b/>
          <w:sz w:val="20"/>
          <w:szCs w:val="20"/>
        </w:rPr>
      </w:pPr>
      <w:r w:rsidRPr="00BD28E7">
        <w:rPr>
          <w:rFonts w:ascii="Arial" w:hAnsi="Arial" w:cs="Arial"/>
          <w:b/>
          <w:sz w:val="20"/>
          <w:szCs w:val="20"/>
        </w:rPr>
        <w:t>Percentatge d’aturats/des de llarga durada sobre el total d’aturats</w:t>
      </w:r>
    </w:p>
    <w:p w:rsidR="00593AD1" w:rsidRDefault="00593AD1">
      <w:pPr>
        <w:spacing w:after="0" w:line="240" w:lineRule="auto"/>
        <w:rPr>
          <w:rFonts w:ascii="Arial" w:hAnsi="Arial" w:cs="Arial"/>
        </w:rPr>
      </w:pPr>
    </w:p>
    <w:p w:rsidR="00BD28E7" w:rsidRDefault="00593AD1" w:rsidP="00BD28E7">
      <w:pPr>
        <w:pStyle w:val="Prrafodelista1"/>
        <w:spacing w:line="360" w:lineRule="auto"/>
        <w:ind w:left="0"/>
        <w:contextualSpacing w:val="0"/>
        <w:rPr>
          <w:rFonts w:ascii="Arial" w:hAnsi="Arial" w:cs="Arial"/>
        </w:rPr>
      </w:pPr>
      <w:r w:rsidRPr="00593AD1">
        <w:rPr>
          <w:rFonts w:ascii="Arial" w:hAnsi="Arial" w:cs="Arial"/>
          <w:noProof/>
          <w:lang w:eastAsia="ca-ES"/>
        </w:rPr>
        <w:drawing>
          <wp:inline distT="0" distB="0" distL="0" distR="0">
            <wp:extent cx="4467225" cy="2743200"/>
            <wp:effectExtent l="19050" t="0" r="9525"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D28E7" w:rsidRPr="00BD28E7" w:rsidRDefault="00BD28E7" w:rsidP="00BD28E7">
      <w:pPr>
        <w:pStyle w:val="Prrafodelista1"/>
        <w:spacing w:line="360" w:lineRule="auto"/>
        <w:ind w:left="0"/>
        <w:contextualSpacing w:val="0"/>
        <w:rPr>
          <w:rFonts w:ascii="Arial" w:hAnsi="Arial" w:cs="Arial"/>
        </w:rPr>
      </w:pPr>
      <w:r w:rsidRPr="000D4044">
        <w:rPr>
          <w:rFonts w:ascii="Arial" w:hAnsi="Arial" w:cs="Arial"/>
          <w:sz w:val="16"/>
          <w:szCs w:val="16"/>
        </w:rPr>
        <w:t>Font: Enquesta de Població Activa de l’INE.</w:t>
      </w:r>
    </w:p>
    <w:p w:rsidR="00593AD1" w:rsidRDefault="00593AD1" w:rsidP="0088689E">
      <w:pPr>
        <w:pStyle w:val="Prrafodelista1"/>
        <w:spacing w:after="200" w:line="360" w:lineRule="auto"/>
        <w:ind w:left="0"/>
        <w:contextualSpacing w:val="0"/>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593AD1" w:rsidRPr="0088689E" w:rsidRDefault="00593AD1" w:rsidP="0088689E">
      <w:pPr>
        <w:pStyle w:val="Prrafodelista1"/>
        <w:spacing w:after="200" w:line="360" w:lineRule="auto"/>
        <w:ind w:left="0"/>
        <w:contextualSpacing w:val="0"/>
        <w:rPr>
          <w:rFonts w:ascii="Arial" w:hAnsi="Arial" w:cs="Arial"/>
        </w:rPr>
      </w:pPr>
    </w:p>
    <w:p w:rsidR="002A7658" w:rsidRPr="000D4044" w:rsidRDefault="002A7658" w:rsidP="0088689E">
      <w:pPr>
        <w:spacing w:after="0"/>
        <w:rPr>
          <w:rFonts w:ascii="Arial" w:hAnsi="Arial" w:cs="Arial"/>
          <w:b/>
          <w:sz w:val="20"/>
          <w:szCs w:val="20"/>
        </w:rPr>
      </w:pPr>
      <w:r w:rsidRPr="000D4044">
        <w:rPr>
          <w:rFonts w:ascii="Arial" w:hAnsi="Arial" w:cs="Arial"/>
          <w:b/>
          <w:sz w:val="20"/>
          <w:szCs w:val="20"/>
        </w:rPr>
        <w:t>Població aturada que viu en llars on tots els actius estan aturats.</w:t>
      </w:r>
      <w:r w:rsidR="0088689E">
        <w:rPr>
          <w:rFonts w:ascii="Arial" w:hAnsi="Arial" w:cs="Arial"/>
          <w:b/>
          <w:sz w:val="20"/>
          <w:szCs w:val="20"/>
        </w:rPr>
        <w:t xml:space="preserve"> </w:t>
      </w:r>
      <w:r w:rsidRPr="000D4044">
        <w:rPr>
          <w:rFonts w:ascii="Arial" w:hAnsi="Arial" w:cs="Arial"/>
          <w:b/>
          <w:sz w:val="20"/>
          <w:szCs w:val="20"/>
        </w:rPr>
        <w:t>Mitjanes anuals (milers)</w:t>
      </w:r>
    </w:p>
    <w:tbl>
      <w:tblPr>
        <w:tblStyle w:val="Sombreadoclaro-nfasis114"/>
        <w:tblW w:w="5000" w:type="pct"/>
        <w:tblLook w:val="04A0" w:firstRow="1" w:lastRow="0" w:firstColumn="1" w:lastColumn="0" w:noHBand="0" w:noVBand="1"/>
      </w:tblPr>
      <w:tblGrid>
        <w:gridCol w:w="2119"/>
        <w:gridCol w:w="2140"/>
        <w:gridCol w:w="4461"/>
      </w:tblGrid>
      <w:tr w:rsidR="002A7658" w:rsidRPr="00910468" w:rsidTr="000C0CE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Any</w:t>
            </w:r>
          </w:p>
        </w:tc>
        <w:tc>
          <w:tcPr>
            <w:tcW w:w="1227" w:type="pct"/>
            <w:vAlign w:val="center"/>
            <w:hideMark/>
          </w:tcPr>
          <w:p w:rsidR="002A7658" w:rsidRPr="00910468" w:rsidRDefault="002A7658" w:rsidP="000C0C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Aturats</w:t>
            </w:r>
          </w:p>
        </w:tc>
        <w:tc>
          <w:tcPr>
            <w:tcW w:w="2558" w:type="pct"/>
            <w:vAlign w:val="center"/>
            <w:hideMark/>
          </w:tcPr>
          <w:p w:rsidR="002A7658" w:rsidRPr="00910468" w:rsidRDefault="002A7658" w:rsidP="000C0C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Població aturada en llars  amb tots els actius aturats</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2007</w:t>
            </w:r>
          </w:p>
        </w:tc>
        <w:tc>
          <w:tcPr>
            <w:tcW w:w="1227"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247,5</w:t>
            </w:r>
          </w:p>
        </w:tc>
        <w:tc>
          <w:tcPr>
            <w:tcW w:w="255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57,4</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2008</w:t>
            </w:r>
          </w:p>
        </w:tc>
        <w:tc>
          <w:tcPr>
            <w:tcW w:w="1227"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349,6</w:t>
            </w:r>
          </w:p>
        </w:tc>
        <w:tc>
          <w:tcPr>
            <w:tcW w:w="255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89,9</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2009</w:t>
            </w:r>
          </w:p>
        </w:tc>
        <w:tc>
          <w:tcPr>
            <w:tcW w:w="1227"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636,9</w:t>
            </w:r>
          </w:p>
        </w:tc>
        <w:tc>
          <w:tcPr>
            <w:tcW w:w="255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217,2</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2010</w:t>
            </w:r>
          </w:p>
        </w:tc>
        <w:tc>
          <w:tcPr>
            <w:tcW w:w="1227"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696,7</w:t>
            </w:r>
          </w:p>
        </w:tc>
        <w:tc>
          <w:tcPr>
            <w:tcW w:w="255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248,4</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2011</w:t>
            </w:r>
          </w:p>
        </w:tc>
        <w:tc>
          <w:tcPr>
            <w:tcW w:w="1227"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760,0</w:t>
            </w:r>
          </w:p>
        </w:tc>
        <w:tc>
          <w:tcPr>
            <w:tcW w:w="255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293,0</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2012</w:t>
            </w:r>
          </w:p>
        </w:tc>
        <w:tc>
          <w:tcPr>
            <w:tcW w:w="1227"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880,7</w:t>
            </w:r>
          </w:p>
        </w:tc>
        <w:tc>
          <w:tcPr>
            <w:tcW w:w="255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374,9</w:t>
            </w:r>
          </w:p>
        </w:tc>
      </w:tr>
      <w:tr w:rsidR="002A7658" w:rsidRPr="00910468" w:rsidTr="000C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2013</w:t>
            </w:r>
          </w:p>
        </w:tc>
        <w:tc>
          <w:tcPr>
            <w:tcW w:w="1227"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893,2</w:t>
            </w:r>
          </w:p>
        </w:tc>
        <w:tc>
          <w:tcPr>
            <w:tcW w:w="2558" w:type="pct"/>
            <w:noWrap/>
            <w:vAlign w:val="center"/>
            <w:hideMark/>
          </w:tcPr>
          <w:p w:rsidR="002A7658" w:rsidRPr="00910468" w:rsidRDefault="002A7658" w:rsidP="000C0CEA">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384,0</w:t>
            </w:r>
          </w:p>
        </w:tc>
      </w:tr>
      <w:tr w:rsidR="002A7658" w:rsidRPr="00910468" w:rsidTr="000C0CEA">
        <w:trPr>
          <w:trHeight w:val="300"/>
        </w:trPr>
        <w:tc>
          <w:tcPr>
            <w:cnfStyle w:val="001000000000" w:firstRow="0" w:lastRow="0" w:firstColumn="1" w:lastColumn="0" w:oddVBand="0" w:evenVBand="0" w:oddHBand="0" w:evenHBand="0" w:firstRowFirstColumn="0" w:firstRowLastColumn="0" w:lastRowFirstColumn="0" w:lastRowLastColumn="0"/>
            <w:tcW w:w="1215" w:type="pct"/>
            <w:noWrap/>
            <w:vAlign w:val="center"/>
            <w:hideMark/>
          </w:tcPr>
          <w:p w:rsidR="002A7658" w:rsidRPr="00910468" w:rsidRDefault="002A7658" w:rsidP="000C0CEA">
            <w:pPr>
              <w:spacing w:after="0" w:line="240" w:lineRule="auto"/>
              <w:rPr>
                <w:rFonts w:ascii="Arial" w:eastAsia="Times New Roman" w:hAnsi="Arial" w:cs="Arial"/>
                <w:color w:val="auto"/>
                <w:sz w:val="20"/>
                <w:szCs w:val="20"/>
                <w:lang w:eastAsia="ca-ES"/>
              </w:rPr>
            </w:pPr>
            <w:r w:rsidRPr="00910468">
              <w:rPr>
                <w:rFonts w:ascii="Arial" w:eastAsia="Times New Roman" w:hAnsi="Arial" w:cs="Arial"/>
                <w:color w:val="auto"/>
                <w:sz w:val="20"/>
                <w:szCs w:val="20"/>
                <w:lang w:eastAsia="ca-ES"/>
              </w:rPr>
              <w:t>2014</w:t>
            </w:r>
          </w:p>
        </w:tc>
        <w:tc>
          <w:tcPr>
            <w:tcW w:w="1227"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773,3</w:t>
            </w:r>
          </w:p>
        </w:tc>
        <w:tc>
          <w:tcPr>
            <w:tcW w:w="2558" w:type="pct"/>
            <w:noWrap/>
            <w:vAlign w:val="center"/>
            <w:hideMark/>
          </w:tcPr>
          <w:p w:rsidR="002A7658" w:rsidRPr="00910468" w:rsidRDefault="002A7658" w:rsidP="000C0CEA">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329,3</w:t>
            </w:r>
          </w:p>
        </w:tc>
      </w:tr>
    </w:tbl>
    <w:p w:rsidR="002A7658" w:rsidRPr="000D4044" w:rsidRDefault="002A7658" w:rsidP="0088689E">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Elaboració pròpia a partir de dades d’IDESCAT.</w:t>
      </w:r>
    </w:p>
    <w:p w:rsidR="005E7F67" w:rsidRDefault="005E7F67">
      <w:pPr>
        <w:spacing w:after="0" w:line="240" w:lineRule="auto"/>
        <w:rPr>
          <w:rFonts w:ascii="Arial" w:hAnsi="Arial" w:cs="Arial"/>
          <w:b/>
          <w:sz w:val="20"/>
          <w:szCs w:val="20"/>
        </w:rPr>
      </w:pPr>
    </w:p>
    <w:p w:rsidR="002A7658" w:rsidRPr="000D4044" w:rsidRDefault="002A7658" w:rsidP="002A7658">
      <w:pPr>
        <w:spacing w:after="0" w:line="240" w:lineRule="auto"/>
        <w:jc w:val="both"/>
        <w:rPr>
          <w:rFonts w:ascii="Arial" w:hAnsi="Arial" w:cs="Arial"/>
          <w:b/>
          <w:sz w:val="20"/>
          <w:szCs w:val="20"/>
        </w:rPr>
      </w:pPr>
    </w:p>
    <w:p w:rsidR="002A7658" w:rsidRPr="000D4044" w:rsidRDefault="002A7658" w:rsidP="002A7658">
      <w:pPr>
        <w:pStyle w:val="Prrafodelista1"/>
        <w:ind w:left="0"/>
        <w:rPr>
          <w:rFonts w:ascii="Arial" w:hAnsi="Arial" w:cs="Arial"/>
          <w:b/>
          <w:sz w:val="20"/>
          <w:szCs w:val="20"/>
        </w:rPr>
      </w:pPr>
      <w:r w:rsidRPr="000D4044">
        <w:rPr>
          <w:rFonts w:ascii="Arial" w:hAnsi="Arial" w:cs="Arial"/>
          <w:b/>
          <w:sz w:val="20"/>
          <w:szCs w:val="20"/>
        </w:rPr>
        <w:t>Percentatge de població aturada que viu en llars on tots els actius estan aturats.</w:t>
      </w:r>
      <w:r w:rsidR="00AA2BE1">
        <w:rPr>
          <w:rFonts w:ascii="Arial" w:hAnsi="Arial" w:cs="Arial"/>
          <w:b/>
          <w:sz w:val="20"/>
          <w:szCs w:val="20"/>
        </w:rPr>
        <w:t xml:space="preserve"> </w:t>
      </w:r>
      <w:r w:rsidRPr="000D4044">
        <w:rPr>
          <w:rFonts w:ascii="Arial" w:hAnsi="Arial" w:cs="Arial"/>
          <w:b/>
          <w:sz w:val="20"/>
          <w:szCs w:val="20"/>
        </w:rPr>
        <w:t>Mitjanes anuals</w:t>
      </w:r>
    </w:p>
    <w:p w:rsidR="002A7658" w:rsidRPr="00FF24C7"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391025" cy="2524125"/>
            <wp:effectExtent l="19050" t="0" r="9525" b="0"/>
            <wp:docPr id="7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A7658" w:rsidRPr="000D4044" w:rsidRDefault="002A7658" w:rsidP="00FF24C7">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Elaboració pròpia a partir de dades d’IDESCAT.</w:t>
      </w:r>
    </w:p>
    <w:p w:rsidR="00910468" w:rsidRDefault="00910468">
      <w:pPr>
        <w:spacing w:after="0" w:line="240" w:lineRule="auto"/>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6C37E9" w:rsidRPr="000D4044" w:rsidRDefault="006C37E9" w:rsidP="00FF24C7">
      <w:pPr>
        <w:pStyle w:val="Prrafodelista1"/>
        <w:spacing w:after="200" w:line="360" w:lineRule="auto"/>
        <w:ind w:left="0"/>
        <w:contextualSpacing w:val="0"/>
        <w:rPr>
          <w:rFonts w:ascii="Arial" w:hAnsi="Arial" w:cs="Arial"/>
        </w:rPr>
      </w:pPr>
    </w:p>
    <w:p w:rsidR="002A7658" w:rsidRDefault="002A7658" w:rsidP="00FF24C7">
      <w:pPr>
        <w:spacing w:line="360" w:lineRule="auto"/>
        <w:jc w:val="both"/>
        <w:rPr>
          <w:rFonts w:ascii="Arial" w:hAnsi="Arial" w:cs="Arial"/>
          <w:b/>
        </w:rPr>
      </w:pPr>
      <w:r w:rsidRPr="000D4044">
        <w:rPr>
          <w:rFonts w:ascii="Arial" w:hAnsi="Arial" w:cs="Arial"/>
          <w:b/>
        </w:rPr>
        <w:t>4.5. Taxa de temporalitat</w:t>
      </w:r>
    </w:p>
    <w:p w:rsidR="00BF39D9" w:rsidRPr="000D4044" w:rsidRDefault="00BF39D9" w:rsidP="00FF24C7">
      <w:pPr>
        <w:spacing w:line="360" w:lineRule="auto"/>
        <w:jc w:val="both"/>
        <w:rPr>
          <w:rFonts w:ascii="Arial" w:hAnsi="Arial" w:cs="Arial"/>
          <w:b/>
        </w:rPr>
      </w:pPr>
    </w:p>
    <w:p w:rsidR="002A7658" w:rsidRPr="000D4044" w:rsidRDefault="002A7658" w:rsidP="00FF24C7">
      <w:pPr>
        <w:pStyle w:val="Prrafodelista1"/>
        <w:ind w:left="0"/>
        <w:jc w:val="left"/>
        <w:rPr>
          <w:rFonts w:ascii="Arial" w:hAnsi="Arial" w:cs="Arial"/>
          <w:b/>
          <w:sz w:val="20"/>
          <w:szCs w:val="20"/>
        </w:rPr>
      </w:pPr>
      <w:r w:rsidRPr="000D4044">
        <w:rPr>
          <w:rFonts w:ascii="Arial" w:hAnsi="Arial" w:cs="Arial"/>
          <w:b/>
          <w:sz w:val="20"/>
          <w:szCs w:val="20"/>
        </w:rPr>
        <w:t>Taxa de temporalitat. Mitjanes anuals</w:t>
      </w:r>
    </w:p>
    <w:p w:rsidR="002A7658" w:rsidRPr="00FF24C7"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57700" cy="2657475"/>
            <wp:effectExtent l="19050" t="0" r="19050" b="0"/>
            <wp:docPr id="7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A7658" w:rsidRPr="000D4044" w:rsidRDefault="002A7658" w:rsidP="00FF24C7">
      <w:pPr>
        <w:spacing w:line="360" w:lineRule="auto"/>
        <w:jc w:val="both"/>
        <w:rPr>
          <w:rFonts w:ascii="Arial" w:hAnsi="Arial" w:cs="Arial"/>
          <w:sz w:val="16"/>
          <w:szCs w:val="16"/>
        </w:rPr>
      </w:pPr>
      <w:r w:rsidRPr="000D4044">
        <w:rPr>
          <w:rFonts w:ascii="Arial" w:hAnsi="Arial" w:cs="Arial"/>
          <w:sz w:val="16"/>
          <w:szCs w:val="16"/>
        </w:rPr>
        <w:t>Font: Enquesta de Població Activa de l’INE i Eurostat.</w:t>
      </w:r>
    </w:p>
    <w:p w:rsidR="005E7F67" w:rsidRDefault="005E7F67">
      <w:pPr>
        <w:spacing w:after="0" w:line="240" w:lineRule="auto"/>
        <w:rPr>
          <w:rFonts w:ascii="Arial" w:hAnsi="Arial" w:cs="Arial"/>
        </w:rPr>
      </w:pPr>
    </w:p>
    <w:p w:rsidR="006C37E9" w:rsidRPr="00AA2BE1" w:rsidRDefault="006C37E9" w:rsidP="00FF24C7">
      <w:pPr>
        <w:pStyle w:val="Prrafodelista1"/>
        <w:spacing w:after="200" w:line="360" w:lineRule="auto"/>
        <w:ind w:left="0"/>
        <w:contextualSpacing w:val="0"/>
        <w:rPr>
          <w:rFonts w:ascii="Arial" w:hAnsi="Arial" w:cs="Arial"/>
        </w:rPr>
      </w:pPr>
    </w:p>
    <w:p w:rsidR="002A7658" w:rsidRPr="000D4044" w:rsidRDefault="002A7658" w:rsidP="00FF24C7">
      <w:pPr>
        <w:pStyle w:val="Prrafodelista1"/>
        <w:ind w:left="0"/>
        <w:jc w:val="left"/>
        <w:rPr>
          <w:rFonts w:ascii="Arial" w:hAnsi="Arial" w:cs="Arial"/>
          <w:b/>
          <w:sz w:val="20"/>
          <w:szCs w:val="20"/>
        </w:rPr>
      </w:pPr>
      <w:r w:rsidRPr="000D4044">
        <w:rPr>
          <w:rFonts w:ascii="Arial" w:hAnsi="Arial" w:cs="Arial"/>
          <w:b/>
          <w:sz w:val="20"/>
          <w:szCs w:val="20"/>
        </w:rPr>
        <w:t>Població assalariada a Catalunya segons el tipus de contracte. Mitjanes anuals (milers)</w:t>
      </w:r>
    </w:p>
    <w:tbl>
      <w:tblPr>
        <w:tblStyle w:val="Sombreadoclaro-nfasis122"/>
        <w:tblW w:w="5000" w:type="pct"/>
        <w:tblLook w:val="04A0" w:firstRow="1" w:lastRow="0" w:firstColumn="1" w:lastColumn="0" w:noHBand="0" w:noVBand="1"/>
      </w:tblPr>
      <w:tblGrid>
        <w:gridCol w:w="1539"/>
        <w:gridCol w:w="1648"/>
        <w:gridCol w:w="1843"/>
        <w:gridCol w:w="1676"/>
        <w:gridCol w:w="2014"/>
      </w:tblGrid>
      <w:tr w:rsidR="002A7658" w:rsidRPr="00910468" w:rsidTr="00FF24C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noWrap/>
            <w:hideMark/>
          </w:tcPr>
          <w:p w:rsidR="002A7658" w:rsidRPr="00910468" w:rsidRDefault="002A7658" w:rsidP="002A7658">
            <w:pPr>
              <w:spacing w:after="0" w:line="240" w:lineRule="auto"/>
              <w:rPr>
                <w:rFonts w:eastAsia="Times New Roman"/>
                <w:color w:val="auto"/>
                <w:lang w:eastAsia="ca-ES"/>
              </w:rPr>
            </w:pPr>
          </w:p>
        </w:tc>
        <w:tc>
          <w:tcPr>
            <w:tcW w:w="2002" w:type="pct"/>
            <w:gridSpan w:val="2"/>
            <w:noWrap/>
            <w:vAlign w:val="center"/>
            <w:hideMark/>
          </w:tcPr>
          <w:p w:rsidR="002A7658" w:rsidRPr="00910468" w:rsidRDefault="002A7658" w:rsidP="00FF24C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sidRPr="00910468">
              <w:rPr>
                <w:rFonts w:eastAsia="Times New Roman"/>
                <w:color w:val="auto"/>
                <w:lang w:eastAsia="ca-ES"/>
              </w:rPr>
              <w:t>Indefinits</w:t>
            </w:r>
          </w:p>
        </w:tc>
        <w:tc>
          <w:tcPr>
            <w:tcW w:w="2116" w:type="pct"/>
            <w:gridSpan w:val="2"/>
            <w:noWrap/>
            <w:vAlign w:val="center"/>
            <w:hideMark/>
          </w:tcPr>
          <w:p w:rsidR="002A7658" w:rsidRPr="00910468" w:rsidRDefault="002A7658" w:rsidP="00FF24C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sidRPr="00910468">
              <w:rPr>
                <w:rFonts w:eastAsia="Times New Roman"/>
                <w:color w:val="auto"/>
                <w:lang w:eastAsia="ca-ES"/>
              </w:rPr>
              <w:t>Temporals</w:t>
            </w:r>
          </w:p>
        </w:tc>
      </w:tr>
      <w:tr w:rsidR="002A7658" w:rsidRPr="00910468" w:rsidTr="00FF24C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82" w:type="pct"/>
            <w:noWrap/>
            <w:hideMark/>
          </w:tcPr>
          <w:p w:rsidR="002A7658" w:rsidRPr="00910468" w:rsidRDefault="002A7658" w:rsidP="002A7658">
            <w:pPr>
              <w:spacing w:after="0" w:line="240" w:lineRule="auto"/>
              <w:rPr>
                <w:rFonts w:eastAsia="Times New Roman"/>
                <w:color w:val="auto"/>
                <w:lang w:eastAsia="ca-ES"/>
              </w:rPr>
            </w:pPr>
          </w:p>
        </w:tc>
        <w:tc>
          <w:tcPr>
            <w:tcW w:w="94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910468">
              <w:rPr>
                <w:rFonts w:eastAsia="Times New Roman"/>
                <w:color w:val="auto"/>
                <w:lang w:eastAsia="ca-ES"/>
              </w:rPr>
              <w:t>llocs de treball</w:t>
            </w:r>
          </w:p>
        </w:tc>
        <w:tc>
          <w:tcPr>
            <w:tcW w:w="1057" w:type="pct"/>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910468">
              <w:rPr>
                <w:rFonts w:eastAsia="Times New Roman"/>
                <w:color w:val="auto"/>
                <w:lang w:eastAsia="ca-ES"/>
              </w:rPr>
              <w:t>% Variació mitjana anual</w:t>
            </w:r>
          </w:p>
        </w:tc>
        <w:tc>
          <w:tcPr>
            <w:tcW w:w="961"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910468">
              <w:rPr>
                <w:rFonts w:eastAsia="Times New Roman"/>
                <w:color w:val="auto"/>
                <w:lang w:eastAsia="ca-ES"/>
              </w:rPr>
              <w:t>llocs de treball</w:t>
            </w:r>
          </w:p>
        </w:tc>
        <w:tc>
          <w:tcPr>
            <w:tcW w:w="1155" w:type="pct"/>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910468">
              <w:rPr>
                <w:rFonts w:eastAsia="Times New Roman"/>
                <w:color w:val="auto"/>
                <w:lang w:eastAsia="ca-ES"/>
              </w:rPr>
              <w:t>% Variació mitjana anual</w:t>
            </w:r>
          </w:p>
        </w:tc>
      </w:tr>
      <w:tr w:rsidR="002A7658" w:rsidRPr="00910468" w:rsidTr="00FF24C7">
        <w:trPr>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2007</w:t>
            </w:r>
          </w:p>
        </w:tc>
        <w:tc>
          <w:tcPr>
            <w:tcW w:w="94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2.284,2</w:t>
            </w:r>
          </w:p>
        </w:tc>
        <w:tc>
          <w:tcPr>
            <w:tcW w:w="1057"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7,4%</w:t>
            </w:r>
          </w:p>
        </w:tc>
        <w:tc>
          <w:tcPr>
            <w:tcW w:w="961"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711,1</w:t>
            </w:r>
          </w:p>
        </w:tc>
        <w:tc>
          <w:tcPr>
            <w:tcW w:w="115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-6,9%</w:t>
            </w:r>
          </w:p>
        </w:tc>
      </w:tr>
      <w:tr w:rsidR="002A7658" w:rsidRPr="00910468" w:rsidTr="00FF24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2008</w:t>
            </w:r>
          </w:p>
        </w:tc>
        <w:tc>
          <w:tcPr>
            <w:tcW w:w="94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2.350,8</w:t>
            </w:r>
          </w:p>
        </w:tc>
        <w:tc>
          <w:tcPr>
            <w:tcW w:w="1057"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2,9%</w:t>
            </w:r>
          </w:p>
        </w:tc>
        <w:tc>
          <w:tcPr>
            <w:tcW w:w="961"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637,6</w:t>
            </w:r>
          </w:p>
        </w:tc>
        <w:tc>
          <w:tcPr>
            <w:tcW w:w="115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-10,3%</w:t>
            </w:r>
          </w:p>
        </w:tc>
      </w:tr>
      <w:tr w:rsidR="002A7658" w:rsidRPr="00910468" w:rsidTr="00FF24C7">
        <w:trPr>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2009</w:t>
            </w:r>
          </w:p>
        </w:tc>
        <w:tc>
          <w:tcPr>
            <w:tcW w:w="94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2.254,4</w:t>
            </w:r>
          </w:p>
        </w:tc>
        <w:tc>
          <w:tcPr>
            <w:tcW w:w="1057"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-4,1%</w:t>
            </w:r>
          </w:p>
        </w:tc>
        <w:tc>
          <w:tcPr>
            <w:tcW w:w="961"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501,6</w:t>
            </w:r>
          </w:p>
        </w:tc>
        <w:tc>
          <w:tcPr>
            <w:tcW w:w="115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-21,3%</w:t>
            </w:r>
          </w:p>
        </w:tc>
      </w:tr>
      <w:tr w:rsidR="002A7658" w:rsidRPr="00910468" w:rsidTr="00FF24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2010</w:t>
            </w:r>
          </w:p>
        </w:tc>
        <w:tc>
          <w:tcPr>
            <w:tcW w:w="94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2.235,7</w:t>
            </w:r>
          </w:p>
        </w:tc>
        <w:tc>
          <w:tcPr>
            <w:tcW w:w="1057"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-0,8%</w:t>
            </w:r>
          </w:p>
        </w:tc>
        <w:tc>
          <w:tcPr>
            <w:tcW w:w="961"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497,1</w:t>
            </w:r>
          </w:p>
        </w:tc>
        <w:tc>
          <w:tcPr>
            <w:tcW w:w="115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-0,9%</w:t>
            </w:r>
          </w:p>
        </w:tc>
      </w:tr>
      <w:tr w:rsidR="002A7658" w:rsidRPr="00910468" w:rsidTr="00FF24C7">
        <w:trPr>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2011</w:t>
            </w:r>
          </w:p>
        </w:tc>
        <w:tc>
          <w:tcPr>
            <w:tcW w:w="94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2.159,5</w:t>
            </w:r>
          </w:p>
        </w:tc>
        <w:tc>
          <w:tcPr>
            <w:tcW w:w="1057"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-3,4%</w:t>
            </w:r>
          </w:p>
        </w:tc>
        <w:tc>
          <w:tcPr>
            <w:tcW w:w="961"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546,0</w:t>
            </w:r>
          </w:p>
        </w:tc>
        <w:tc>
          <w:tcPr>
            <w:tcW w:w="115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9,8%</w:t>
            </w:r>
          </w:p>
        </w:tc>
      </w:tr>
      <w:tr w:rsidR="002A7658" w:rsidRPr="00910468" w:rsidTr="00FF24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2012</w:t>
            </w:r>
          </w:p>
        </w:tc>
        <w:tc>
          <w:tcPr>
            <w:tcW w:w="94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2.072,8</w:t>
            </w:r>
          </w:p>
        </w:tc>
        <w:tc>
          <w:tcPr>
            <w:tcW w:w="1057"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-4,0%</w:t>
            </w:r>
          </w:p>
        </w:tc>
        <w:tc>
          <w:tcPr>
            <w:tcW w:w="961"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467,8</w:t>
            </w:r>
          </w:p>
        </w:tc>
        <w:tc>
          <w:tcPr>
            <w:tcW w:w="115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-14,3%</w:t>
            </w:r>
          </w:p>
        </w:tc>
      </w:tr>
      <w:tr w:rsidR="002A7658" w:rsidRPr="00910468" w:rsidTr="00FF24C7">
        <w:trPr>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2013</w:t>
            </w:r>
          </w:p>
        </w:tc>
        <w:tc>
          <w:tcPr>
            <w:tcW w:w="94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2.011,0</w:t>
            </w:r>
          </w:p>
        </w:tc>
        <w:tc>
          <w:tcPr>
            <w:tcW w:w="1057"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-3,0%</w:t>
            </w:r>
          </w:p>
        </w:tc>
        <w:tc>
          <w:tcPr>
            <w:tcW w:w="961"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910468">
              <w:rPr>
                <w:rFonts w:cs="Arial"/>
                <w:color w:val="auto"/>
              </w:rPr>
              <w:t>460,0</w:t>
            </w:r>
          </w:p>
        </w:tc>
        <w:tc>
          <w:tcPr>
            <w:tcW w:w="1155" w:type="pct"/>
            <w:noWrap/>
            <w:vAlign w:val="center"/>
            <w:hideMark/>
          </w:tcPr>
          <w:p w:rsidR="002A7658" w:rsidRPr="00910468" w:rsidRDefault="002A7658" w:rsidP="00FF24C7">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910468">
              <w:rPr>
                <w:color w:val="auto"/>
              </w:rPr>
              <w:t>-1,7%</w:t>
            </w:r>
          </w:p>
        </w:tc>
      </w:tr>
      <w:tr w:rsidR="002A7658" w:rsidRPr="00910468" w:rsidTr="00FF24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noWrap/>
            <w:vAlign w:val="center"/>
            <w:hideMark/>
          </w:tcPr>
          <w:p w:rsidR="002A7658" w:rsidRPr="00910468" w:rsidRDefault="002A7658" w:rsidP="00FF24C7">
            <w:pPr>
              <w:spacing w:after="0" w:line="240" w:lineRule="auto"/>
              <w:rPr>
                <w:rFonts w:eastAsia="Times New Roman"/>
                <w:color w:val="auto"/>
                <w:lang w:eastAsia="ca-ES"/>
              </w:rPr>
            </w:pPr>
            <w:r w:rsidRPr="00910468">
              <w:rPr>
                <w:rFonts w:eastAsia="Times New Roman"/>
                <w:color w:val="auto"/>
                <w:lang w:eastAsia="ca-ES"/>
              </w:rPr>
              <w:t>2014</w:t>
            </w:r>
          </w:p>
        </w:tc>
        <w:tc>
          <w:tcPr>
            <w:tcW w:w="94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2.051,1</w:t>
            </w:r>
          </w:p>
        </w:tc>
        <w:tc>
          <w:tcPr>
            <w:tcW w:w="1057"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2,0%</w:t>
            </w:r>
          </w:p>
        </w:tc>
        <w:tc>
          <w:tcPr>
            <w:tcW w:w="961"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910468">
              <w:rPr>
                <w:rFonts w:cs="Arial"/>
                <w:color w:val="auto"/>
              </w:rPr>
              <w:t>460,0</w:t>
            </w:r>
          </w:p>
        </w:tc>
        <w:tc>
          <w:tcPr>
            <w:tcW w:w="1155" w:type="pct"/>
            <w:noWrap/>
            <w:vAlign w:val="center"/>
            <w:hideMark/>
          </w:tcPr>
          <w:p w:rsidR="002A7658" w:rsidRPr="00910468" w:rsidRDefault="002A7658" w:rsidP="00FF24C7">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910468">
              <w:rPr>
                <w:color w:val="auto"/>
              </w:rPr>
              <w:t>0,0%</w:t>
            </w:r>
          </w:p>
        </w:tc>
      </w:tr>
    </w:tbl>
    <w:p w:rsidR="002A7658" w:rsidRPr="000D4044" w:rsidRDefault="002A7658" w:rsidP="00FF24C7">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Elaboració pròpia a partir de dades de l’Enquesta de Població Activa de l’INE.</w:t>
      </w:r>
    </w:p>
    <w:p w:rsidR="00910468" w:rsidRDefault="00910468">
      <w:pPr>
        <w:spacing w:after="0" w:line="240" w:lineRule="auto"/>
        <w:rPr>
          <w:rFonts w:ascii="Arial" w:hAnsi="Arial" w:cs="Arial"/>
          <w:b/>
          <w:sz w:val="20"/>
          <w:szCs w:val="20"/>
        </w:rPr>
      </w:pPr>
    </w:p>
    <w:p w:rsidR="00593AD1" w:rsidRDefault="00593AD1">
      <w:pPr>
        <w:spacing w:after="0" w:line="240" w:lineRule="auto"/>
        <w:rPr>
          <w:rFonts w:ascii="Arial" w:hAnsi="Arial" w:cs="Arial"/>
          <w:b/>
          <w:sz w:val="20"/>
          <w:szCs w:val="20"/>
        </w:rPr>
      </w:pPr>
      <w:r>
        <w:rPr>
          <w:rFonts w:ascii="Arial" w:hAnsi="Arial" w:cs="Arial"/>
          <w:b/>
          <w:sz w:val="20"/>
          <w:szCs w:val="20"/>
        </w:rPr>
        <w:br w:type="page"/>
      </w:r>
    </w:p>
    <w:p w:rsidR="002A7658" w:rsidRPr="000D4044" w:rsidRDefault="002A7658" w:rsidP="00FF24C7">
      <w:pPr>
        <w:pStyle w:val="Prrafodelista1"/>
        <w:spacing w:after="200" w:line="360" w:lineRule="auto"/>
        <w:ind w:left="0"/>
        <w:contextualSpacing w:val="0"/>
        <w:rPr>
          <w:rFonts w:ascii="Arial" w:hAnsi="Arial" w:cs="Arial"/>
          <w:b/>
          <w:sz w:val="20"/>
          <w:szCs w:val="20"/>
        </w:rPr>
      </w:pPr>
    </w:p>
    <w:p w:rsidR="002A7658" w:rsidRPr="000D4044" w:rsidRDefault="002A7658" w:rsidP="00FF24C7">
      <w:pPr>
        <w:pStyle w:val="Prrafodelista1"/>
        <w:ind w:left="0"/>
        <w:jc w:val="left"/>
        <w:rPr>
          <w:rFonts w:ascii="Arial" w:hAnsi="Arial" w:cs="Arial"/>
          <w:b/>
          <w:sz w:val="20"/>
          <w:szCs w:val="20"/>
        </w:rPr>
      </w:pPr>
      <w:r w:rsidRPr="000D4044">
        <w:rPr>
          <w:rFonts w:ascii="Arial" w:hAnsi="Arial" w:cs="Arial"/>
          <w:b/>
          <w:sz w:val="20"/>
          <w:szCs w:val="20"/>
        </w:rPr>
        <w:t>Taxa de temporalitat a Catalunya per sexes. Mitjanes anuals</w:t>
      </w:r>
    </w:p>
    <w:p w:rsidR="002A7658" w:rsidRPr="00FF24C7"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00550" cy="2638425"/>
            <wp:effectExtent l="19050" t="0" r="19050" b="0"/>
            <wp:docPr id="1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A7658" w:rsidRPr="000D4044" w:rsidRDefault="002A7658" w:rsidP="00FF24C7">
      <w:pPr>
        <w:spacing w:line="360" w:lineRule="auto"/>
        <w:jc w:val="both"/>
        <w:rPr>
          <w:rFonts w:ascii="Arial" w:hAnsi="Arial" w:cs="Arial"/>
          <w:sz w:val="16"/>
          <w:szCs w:val="16"/>
        </w:rPr>
      </w:pPr>
      <w:r w:rsidRPr="000D4044">
        <w:rPr>
          <w:rFonts w:ascii="Arial" w:hAnsi="Arial" w:cs="Arial"/>
          <w:sz w:val="16"/>
          <w:szCs w:val="16"/>
        </w:rPr>
        <w:t>Font: Enquesta de Població Activa de l’INE.</w:t>
      </w:r>
    </w:p>
    <w:p w:rsidR="002A7658" w:rsidRDefault="002A7658" w:rsidP="002A7658">
      <w:pPr>
        <w:spacing w:after="0" w:line="240" w:lineRule="auto"/>
        <w:jc w:val="both"/>
        <w:rPr>
          <w:rFonts w:ascii="Arial" w:hAnsi="Arial" w:cs="Arial"/>
          <w:sz w:val="20"/>
          <w:szCs w:val="20"/>
        </w:rPr>
      </w:pPr>
    </w:p>
    <w:p w:rsidR="005E7F67" w:rsidRDefault="005E7F67">
      <w:pPr>
        <w:spacing w:after="0" w:line="240" w:lineRule="auto"/>
        <w:rPr>
          <w:rFonts w:ascii="Arial" w:hAnsi="Arial" w:cs="Arial"/>
          <w:b/>
          <w:sz w:val="20"/>
          <w:szCs w:val="20"/>
        </w:rPr>
      </w:pPr>
    </w:p>
    <w:p w:rsidR="00BF39D9" w:rsidRPr="000D4044" w:rsidRDefault="00BF39D9" w:rsidP="002A7658">
      <w:pPr>
        <w:spacing w:after="0" w:line="240" w:lineRule="auto"/>
        <w:jc w:val="both"/>
        <w:rPr>
          <w:rFonts w:ascii="Arial" w:hAnsi="Arial" w:cs="Arial"/>
          <w:b/>
          <w:sz w:val="20"/>
          <w:szCs w:val="20"/>
        </w:rPr>
      </w:pPr>
    </w:p>
    <w:p w:rsidR="002A7658" w:rsidRPr="000D4044" w:rsidRDefault="002A7658" w:rsidP="00FF24C7">
      <w:pPr>
        <w:pStyle w:val="Prrafodelista1"/>
        <w:ind w:left="0"/>
        <w:jc w:val="left"/>
        <w:rPr>
          <w:rFonts w:ascii="Arial" w:hAnsi="Arial" w:cs="Arial"/>
          <w:b/>
        </w:rPr>
      </w:pPr>
      <w:r w:rsidRPr="000D4044">
        <w:rPr>
          <w:rFonts w:ascii="Arial" w:hAnsi="Arial" w:cs="Arial"/>
          <w:b/>
          <w:sz w:val="20"/>
          <w:szCs w:val="20"/>
        </w:rPr>
        <w:t>Taxa de temporalitat a Catalunya per edats. Mitjanes anuals</w:t>
      </w:r>
    </w:p>
    <w:p w:rsidR="002A7658" w:rsidRPr="00FF24C7"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00550" cy="2628900"/>
            <wp:effectExtent l="19050" t="0" r="19050" b="0"/>
            <wp:docPr id="2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A7658" w:rsidRPr="000D4044" w:rsidRDefault="002A7658" w:rsidP="00FF24C7">
      <w:pPr>
        <w:spacing w:line="360" w:lineRule="auto"/>
        <w:jc w:val="both"/>
        <w:rPr>
          <w:rFonts w:ascii="Arial" w:hAnsi="Arial" w:cs="Arial"/>
          <w:sz w:val="16"/>
          <w:szCs w:val="16"/>
        </w:rPr>
      </w:pPr>
      <w:r w:rsidRPr="000D4044">
        <w:rPr>
          <w:rFonts w:ascii="Arial" w:hAnsi="Arial" w:cs="Arial"/>
          <w:sz w:val="16"/>
          <w:szCs w:val="16"/>
        </w:rPr>
        <w:t>Font: Enquesta de Població Activa de l’INE.</w:t>
      </w:r>
    </w:p>
    <w:p w:rsidR="00BF39D9" w:rsidRDefault="00BF39D9">
      <w:pPr>
        <w:spacing w:after="0" w:line="240" w:lineRule="auto"/>
        <w:rPr>
          <w:rFonts w:ascii="Arial" w:hAnsi="Arial" w:cs="Arial"/>
          <w:b/>
          <w:sz w:val="20"/>
          <w:szCs w:val="20"/>
        </w:rPr>
      </w:pPr>
    </w:p>
    <w:p w:rsidR="00593AD1" w:rsidRDefault="00593AD1">
      <w:pPr>
        <w:spacing w:after="0" w:line="240" w:lineRule="auto"/>
        <w:rPr>
          <w:rFonts w:ascii="Arial" w:hAnsi="Arial" w:cs="Arial"/>
          <w:b/>
          <w:sz w:val="20"/>
          <w:szCs w:val="20"/>
        </w:rPr>
      </w:pPr>
      <w:r>
        <w:rPr>
          <w:rFonts w:ascii="Arial" w:hAnsi="Arial" w:cs="Arial"/>
          <w:b/>
          <w:sz w:val="20"/>
          <w:szCs w:val="20"/>
        </w:rPr>
        <w:br w:type="page"/>
      </w:r>
    </w:p>
    <w:p w:rsidR="002A7658" w:rsidRPr="000D4044" w:rsidRDefault="002A7658" w:rsidP="00FF24C7">
      <w:pPr>
        <w:pStyle w:val="Prrafodelista1"/>
        <w:spacing w:after="200" w:line="360" w:lineRule="auto"/>
        <w:ind w:left="0"/>
        <w:contextualSpacing w:val="0"/>
        <w:rPr>
          <w:rFonts w:ascii="Arial" w:hAnsi="Arial" w:cs="Arial"/>
          <w:b/>
          <w:sz w:val="20"/>
          <w:szCs w:val="20"/>
        </w:rPr>
      </w:pPr>
    </w:p>
    <w:p w:rsidR="002A7658" w:rsidRPr="000D4044" w:rsidRDefault="002A7658" w:rsidP="00FF24C7">
      <w:pPr>
        <w:pStyle w:val="Prrafodelista1"/>
        <w:ind w:left="0"/>
        <w:jc w:val="left"/>
        <w:rPr>
          <w:rFonts w:ascii="Arial" w:hAnsi="Arial" w:cs="Arial"/>
          <w:b/>
          <w:sz w:val="20"/>
          <w:szCs w:val="20"/>
        </w:rPr>
      </w:pPr>
      <w:r w:rsidRPr="000D4044">
        <w:rPr>
          <w:rFonts w:ascii="Arial" w:hAnsi="Arial" w:cs="Arial"/>
          <w:b/>
          <w:sz w:val="20"/>
          <w:szCs w:val="20"/>
        </w:rPr>
        <w:t>Taxa de temporalitat a Catalunya per nacionalitat. 4t trimestre de cada any</w:t>
      </w:r>
    </w:p>
    <w:p w:rsidR="002A7658" w:rsidRPr="00FF24C7"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86275" cy="2828925"/>
            <wp:effectExtent l="19050" t="0" r="9525" b="0"/>
            <wp:docPr id="2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A7658" w:rsidRPr="000D4044" w:rsidRDefault="002A7658" w:rsidP="00FF24C7">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Elaboració pròpia a partir de l’explotació de les microdades de la EPA.</w:t>
      </w:r>
    </w:p>
    <w:p w:rsidR="002A7658" w:rsidRDefault="002A7658" w:rsidP="00FF24C7">
      <w:pPr>
        <w:spacing w:line="360" w:lineRule="auto"/>
        <w:jc w:val="both"/>
        <w:rPr>
          <w:rFonts w:ascii="Arial" w:hAnsi="Arial" w:cs="Arial"/>
        </w:rPr>
      </w:pPr>
    </w:p>
    <w:p w:rsidR="00BF39D9" w:rsidRPr="000D4044" w:rsidRDefault="00BF39D9" w:rsidP="00FF24C7">
      <w:pPr>
        <w:spacing w:line="360" w:lineRule="auto"/>
        <w:jc w:val="both"/>
        <w:rPr>
          <w:rFonts w:ascii="Arial" w:hAnsi="Arial" w:cs="Arial"/>
          <w:b/>
          <w:sz w:val="20"/>
          <w:szCs w:val="20"/>
        </w:rPr>
      </w:pPr>
    </w:p>
    <w:p w:rsidR="002A7658" w:rsidRPr="000D4044" w:rsidRDefault="002A7658" w:rsidP="00AE2DE0">
      <w:pPr>
        <w:spacing w:after="0"/>
        <w:rPr>
          <w:rFonts w:ascii="Arial" w:hAnsi="Arial" w:cs="Arial"/>
          <w:b/>
          <w:sz w:val="20"/>
          <w:szCs w:val="20"/>
        </w:rPr>
      </w:pPr>
      <w:r w:rsidRPr="000D4044">
        <w:rPr>
          <w:rFonts w:ascii="Arial" w:hAnsi="Arial" w:cs="Arial"/>
          <w:b/>
          <w:sz w:val="20"/>
          <w:szCs w:val="20"/>
        </w:rPr>
        <w:t>Taxa de Temporalitat del Sectors Públic i Privat a Catalunya. Mitjanes anuals</w:t>
      </w:r>
    </w:p>
    <w:p w:rsidR="002A7658" w:rsidRPr="00AE2DE0"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429125" cy="2505075"/>
            <wp:effectExtent l="19050" t="0" r="9525" b="0"/>
            <wp:docPr id="2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A7658" w:rsidRPr="000D4044" w:rsidRDefault="002A7658" w:rsidP="00AE2DE0">
      <w:pPr>
        <w:jc w:val="both"/>
        <w:rPr>
          <w:rFonts w:ascii="Arial" w:hAnsi="Arial" w:cs="Arial"/>
          <w:sz w:val="16"/>
          <w:szCs w:val="16"/>
        </w:rPr>
      </w:pPr>
      <w:r w:rsidRPr="000D4044">
        <w:rPr>
          <w:rFonts w:ascii="Arial" w:hAnsi="Arial" w:cs="Arial"/>
          <w:sz w:val="16"/>
          <w:szCs w:val="16"/>
        </w:rPr>
        <w:t>Font: Enquesta de Població Activa de l’INE.</w:t>
      </w:r>
    </w:p>
    <w:p w:rsidR="00BF39D9" w:rsidRDefault="00BF39D9">
      <w:pPr>
        <w:spacing w:after="0" w:line="240" w:lineRule="auto"/>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2A7658" w:rsidRPr="000D4044" w:rsidRDefault="002A7658" w:rsidP="00AE2DE0">
      <w:pPr>
        <w:jc w:val="both"/>
        <w:rPr>
          <w:rFonts w:ascii="Arial" w:hAnsi="Arial" w:cs="Arial"/>
        </w:rPr>
      </w:pPr>
    </w:p>
    <w:p w:rsidR="002A7658" w:rsidRDefault="002A7658" w:rsidP="00AE2DE0">
      <w:pPr>
        <w:spacing w:line="360" w:lineRule="auto"/>
        <w:jc w:val="both"/>
        <w:rPr>
          <w:rFonts w:ascii="Arial" w:hAnsi="Arial" w:cs="Arial"/>
          <w:b/>
        </w:rPr>
      </w:pPr>
      <w:r w:rsidRPr="000D4044">
        <w:rPr>
          <w:rFonts w:ascii="Arial" w:hAnsi="Arial" w:cs="Arial"/>
          <w:b/>
        </w:rPr>
        <w:t>4.6. Taxa d’ocupació a temps parcial</w:t>
      </w:r>
    </w:p>
    <w:p w:rsidR="00BF39D9" w:rsidRPr="000D4044" w:rsidRDefault="00BF39D9" w:rsidP="00AE2DE0">
      <w:pPr>
        <w:spacing w:line="360" w:lineRule="auto"/>
        <w:jc w:val="both"/>
        <w:rPr>
          <w:rFonts w:ascii="Arial" w:hAnsi="Arial" w:cs="Arial"/>
          <w:b/>
        </w:rPr>
      </w:pPr>
    </w:p>
    <w:p w:rsidR="002A7658" w:rsidRPr="000D4044" w:rsidRDefault="002A7658" w:rsidP="00AE2DE0">
      <w:pPr>
        <w:pStyle w:val="Prrafodelista1"/>
        <w:ind w:left="0"/>
        <w:jc w:val="left"/>
        <w:rPr>
          <w:rFonts w:ascii="Arial" w:hAnsi="Arial" w:cs="Arial"/>
          <w:b/>
          <w:sz w:val="20"/>
          <w:szCs w:val="20"/>
        </w:rPr>
      </w:pPr>
      <w:r w:rsidRPr="000D4044">
        <w:rPr>
          <w:rFonts w:ascii="Arial" w:hAnsi="Arial" w:cs="Arial"/>
          <w:b/>
          <w:sz w:val="20"/>
          <w:szCs w:val="20"/>
        </w:rPr>
        <w:t>Taxa d’ocupació a temps parcial. Mitjanes anuals</w:t>
      </w:r>
    </w:p>
    <w:p w:rsidR="002A7658" w:rsidRPr="00AE2DE0"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67225" cy="2743200"/>
            <wp:effectExtent l="19050" t="0" r="9525" b="0"/>
            <wp:docPr id="7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A7658" w:rsidRPr="000D4044" w:rsidRDefault="002A7658" w:rsidP="00AE2DE0">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Enquesta de Població Activa de l’INE i Eurostat.</w:t>
      </w:r>
    </w:p>
    <w:p w:rsidR="002A7658" w:rsidRPr="000D4044" w:rsidRDefault="002A7658" w:rsidP="00AE2DE0">
      <w:pPr>
        <w:pStyle w:val="Prrafodelista1"/>
        <w:spacing w:after="200" w:line="360" w:lineRule="auto"/>
        <w:ind w:left="0"/>
        <w:contextualSpacing w:val="0"/>
        <w:rPr>
          <w:rFonts w:ascii="Arial" w:hAnsi="Arial" w:cs="Arial"/>
        </w:rPr>
      </w:pPr>
    </w:p>
    <w:p w:rsidR="005E7F67" w:rsidRDefault="005E7F67">
      <w:pPr>
        <w:spacing w:after="0" w:line="240" w:lineRule="auto"/>
        <w:rPr>
          <w:rFonts w:ascii="Arial" w:hAnsi="Arial" w:cs="Arial"/>
          <w:b/>
          <w:sz w:val="20"/>
          <w:szCs w:val="20"/>
        </w:rPr>
      </w:pPr>
    </w:p>
    <w:p w:rsidR="006C37E9" w:rsidRDefault="006C37E9" w:rsidP="00AE2DE0">
      <w:pPr>
        <w:pStyle w:val="Prrafodelista1"/>
        <w:spacing w:after="200" w:line="360" w:lineRule="auto"/>
        <w:ind w:left="0"/>
        <w:contextualSpacing w:val="0"/>
        <w:rPr>
          <w:rFonts w:ascii="Arial" w:hAnsi="Arial" w:cs="Arial"/>
          <w:b/>
          <w:sz w:val="20"/>
          <w:szCs w:val="20"/>
        </w:rPr>
      </w:pPr>
    </w:p>
    <w:p w:rsidR="002A7658" w:rsidRPr="000D4044" w:rsidRDefault="002A7658" w:rsidP="00AE2DE0">
      <w:pPr>
        <w:pStyle w:val="Prrafodelista1"/>
        <w:ind w:left="0"/>
        <w:jc w:val="left"/>
        <w:rPr>
          <w:rFonts w:ascii="Arial" w:hAnsi="Arial" w:cs="Arial"/>
          <w:b/>
          <w:sz w:val="20"/>
          <w:szCs w:val="20"/>
        </w:rPr>
      </w:pPr>
      <w:r w:rsidRPr="000D4044">
        <w:rPr>
          <w:rFonts w:ascii="Arial" w:hAnsi="Arial" w:cs="Arial"/>
          <w:b/>
          <w:sz w:val="20"/>
          <w:szCs w:val="20"/>
        </w:rPr>
        <w:t>Població assalariada a Catalunya segons el tipus de jornada. Mitjanes anuals (milers)</w:t>
      </w:r>
    </w:p>
    <w:tbl>
      <w:tblPr>
        <w:tblStyle w:val="Sombreadoclaro-nfasis123"/>
        <w:tblW w:w="5000" w:type="pct"/>
        <w:tblLook w:val="04A0" w:firstRow="1" w:lastRow="0" w:firstColumn="1" w:lastColumn="0" w:noHBand="0" w:noVBand="1"/>
      </w:tblPr>
      <w:tblGrid>
        <w:gridCol w:w="1933"/>
        <w:gridCol w:w="2019"/>
        <w:gridCol w:w="1391"/>
        <w:gridCol w:w="2019"/>
        <w:gridCol w:w="1358"/>
      </w:tblGrid>
      <w:tr w:rsidR="002A7658" w:rsidRPr="00BF39D9" w:rsidTr="00AE2DE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2A7658">
            <w:pPr>
              <w:spacing w:after="0" w:line="240" w:lineRule="auto"/>
              <w:rPr>
                <w:rFonts w:eastAsia="Times New Roman"/>
                <w:color w:val="auto"/>
                <w:lang w:eastAsia="ca-ES"/>
              </w:rPr>
            </w:pPr>
          </w:p>
        </w:tc>
        <w:tc>
          <w:tcPr>
            <w:tcW w:w="1767" w:type="pct"/>
            <w:gridSpan w:val="2"/>
            <w:noWrap/>
            <w:vAlign w:val="center"/>
            <w:hideMark/>
          </w:tcPr>
          <w:p w:rsidR="002A7658" w:rsidRPr="00BF39D9" w:rsidRDefault="00BA7B64" w:rsidP="00AE2D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Pr>
                <w:rFonts w:eastAsia="Times New Roman"/>
                <w:color w:val="auto"/>
                <w:lang w:eastAsia="ca-ES"/>
              </w:rPr>
              <w:t>A temps comple</w:t>
            </w:r>
            <w:r w:rsidR="002A7658" w:rsidRPr="00BF39D9">
              <w:rPr>
                <w:rFonts w:eastAsia="Times New Roman"/>
                <w:color w:val="auto"/>
                <w:lang w:eastAsia="ca-ES"/>
              </w:rPr>
              <w:t>t</w:t>
            </w:r>
          </w:p>
        </w:tc>
        <w:tc>
          <w:tcPr>
            <w:tcW w:w="1936" w:type="pct"/>
            <w:gridSpan w:val="2"/>
            <w:noWrap/>
            <w:vAlign w:val="center"/>
            <w:hideMark/>
          </w:tcPr>
          <w:p w:rsidR="002A7658" w:rsidRPr="00BF39D9" w:rsidRDefault="002A7658" w:rsidP="00AE2D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A temps parcial</w:t>
            </w:r>
          </w:p>
        </w:tc>
      </w:tr>
      <w:tr w:rsidR="002A7658" w:rsidRPr="00BF39D9" w:rsidTr="00AE2D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2A7658">
            <w:pPr>
              <w:spacing w:after="0" w:line="240" w:lineRule="auto"/>
              <w:rPr>
                <w:rFonts w:eastAsia="Times New Roman"/>
                <w:color w:val="auto"/>
                <w:lang w:eastAsia="ca-ES"/>
              </w:rPr>
            </w:pPr>
          </w:p>
        </w:tc>
        <w:tc>
          <w:tcPr>
            <w:tcW w:w="781"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Població assalariada</w:t>
            </w:r>
          </w:p>
        </w:tc>
        <w:tc>
          <w:tcPr>
            <w:tcW w:w="986" w:type="pct"/>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 Variació mitjana anual</w:t>
            </w:r>
          </w:p>
        </w:tc>
        <w:tc>
          <w:tcPr>
            <w:tcW w:w="969"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Població assalariada</w:t>
            </w:r>
          </w:p>
        </w:tc>
        <w:tc>
          <w:tcPr>
            <w:tcW w:w="968" w:type="pct"/>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 Variació mitjana anual</w:t>
            </w:r>
          </w:p>
        </w:tc>
      </w:tr>
      <w:tr w:rsidR="002A7658" w:rsidRPr="00BF39D9" w:rsidTr="00AE2DE0">
        <w:trPr>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2007</w:t>
            </w:r>
          </w:p>
        </w:tc>
        <w:tc>
          <w:tcPr>
            <w:tcW w:w="781"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3.160,8</w:t>
            </w:r>
          </w:p>
        </w:tc>
        <w:tc>
          <w:tcPr>
            <w:tcW w:w="986"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4,6%</w:t>
            </w:r>
          </w:p>
        </w:tc>
        <w:tc>
          <w:tcPr>
            <w:tcW w:w="969"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415,8</w:t>
            </w:r>
          </w:p>
        </w:tc>
        <w:tc>
          <w:tcPr>
            <w:tcW w:w="968"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4,4%</w:t>
            </w:r>
          </w:p>
        </w:tc>
      </w:tr>
      <w:tr w:rsidR="002A7658" w:rsidRPr="00BF39D9" w:rsidTr="00AE2D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2008</w:t>
            </w:r>
          </w:p>
        </w:tc>
        <w:tc>
          <w:tcPr>
            <w:tcW w:w="781"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3.165,9</w:t>
            </w:r>
          </w:p>
        </w:tc>
        <w:tc>
          <w:tcPr>
            <w:tcW w:w="986"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0,2%</w:t>
            </w:r>
          </w:p>
        </w:tc>
        <w:tc>
          <w:tcPr>
            <w:tcW w:w="969"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415,4</w:t>
            </w:r>
          </w:p>
        </w:tc>
        <w:tc>
          <w:tcPr>
            <w:tcW w:w="968"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-0,1%</w:t>
            </w:r>
          </w:p>
        </w:tc>
      </w:tr>
      <w:tr w:rsidR="002A7658" w:rsidRPr="00BF39D9" w:rsidTr="00AE2DE0">
        <w:trPr>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2009</w:t>
            </w:r>
          </w:p>
        </w:tc>
        <w:tc>
          <w:tcPr>
            <w:tcW w:w="781"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2.908,1</w:t>
            </w:r>
          </w:p>
        </w:tc>
        <w:tc>
          <w:tcPr>
            <w:tcW w:w="986"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-8,1%</w:t>
            </w:r>
          </w:p>
        </w:tc>
        <w:tc>
          <w:tcPr>
            <w:tcW w:w="969"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382,2</w:t>
            </w:r>
          </w:p>
        </w:tc>
        <w:tc>
          <w:tcPr>
            <w:tcW w:w="968"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-8,0%</w:t>
            </w:r>
          </w:p>
        </w:tc>
      </w:tr>
      <w:tr w:rsidR="002A7658" w:rsidRPr="00BF39D9" w:rsidTr="00AE2D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2010</w:t>
            </w:r>
          </w:p>
        </w:tc>
        <w:tc>
          <w:tcPr>
            <w:tcW w:w="781"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2.851,0</w:t>
            </w:r>
          </w:p>
        </w:tc>
        <w:tc>
          <w:tcPr>
            <w:tcW w:w="986"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-2,0%</w:t>
            </w:r>
          </w:p>
        </w:tc>
        <w:tc>
          <w:tcPr>
            <w:tcW w:w="969"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398,1</w:t>
            </w:r>
          </w:p>
        </w:tc>
        <w:tc>
          <w:tcPr>
            <w:tcW w:w="968"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4,2%</w:t>
            </w:r>
          </w:p>
        </w:tc>
      </w:tr>
      <w:tr w:rsidR="002A7658" w:rsidRPr="00BF39D9" w:rsidTr="00AE2DE0">
        <w:trPr>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2011</w:t>
            </w:r>
          </w:p>
        </w:tc>
        <w:tc>
          <w:tcPr>
            <w:tcW w:w="781"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2.778,5</w:t>
            </w:r>
          </w:p>
        </w:tc>
        <w:tc>
          <w:tcPr>
            <w:tcW w:w="986"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-2,5%</w:t>
            </w:r>
          </w:p>
        </w:tc>
        <w:tc>
          <w:tcPr>
            <w:tcW w:w="969"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428,3</w:t>
            </w:r>
          </w:p>
        </w:tc>
        <w:tc>
          <w:tcPr>
            <w:tcW w:w="968"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7,6%</w:t>
            </w:r>
          </w:p>
        </w:tc>
      </w:tr>
      <w:tr w:rsidR="002A7658" w:rsidRPr="00BF39D9" w:rsidTr="00AE2D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2012</w:t>
            </w:r>
          </w:p>
        </w:tc>
        <w:tc>
          <w:tcPr>
            <w:tcW w:w="781"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2.612,6</w:t>
            </w:r>
          </w:p>
        </w:tc>
        <w:tc>
          <w:tcPr>
            <w:tcW w:w="986"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-6,0%</w:t>
            </w:r>
          </w:p>
        </w:tc>
        <w:tc>
          <w:tcPr>
            <w:tcW w:w="969"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419,1</w:t>
            </w:r>
          </w:p>
        </w:tc>
        <w:tc>
          <w:tcPr>
            <w:tcW w:w="968"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-2,1%</w:t>
            </w:r>
          </w:p>
        </w:tc>
      </w:tr>
      <w:tr w:rsidR="002A7658" w:rsidRPr="00BF39D9" w:rsidTr="00AE2DE0">
        <w:trPr>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2013</w:t>
            </w:r>
          </w:p>
        </w:tc>
        <w:tc>
          <w:tcPr>
            <w:tcW w:w="781"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2.515,9</w:t>
            </w:r>
          </w:p>
        </w:tc>
        <w:tc>
          <w:tcPr>
            <w:tcW w:w="986"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-3,7%</w:t>
            </w:r>
          </w:p>
        </w:tc>
        <w:tc>
          <w:tcPr>
            <w:tcW w:w="969"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453,7</w:t>
            </w:r>
          </w:p>
        </w:tc>
        <w:tc>
          <w:tcPr>
            <w:tcW w:w="968"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8,3%</w:t>
            </w:r>
          </w:p>
        </w:tc>
      </w:tr>
      <w:tr w:rsidR="002A7658" w:rsidRPr="00BF39D9" w:rsidTr="00AE2D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noWrap/>
            <w:vAlign w:val="center"/>
            <w:hideMark/>
          </w:tcPr>
          <w:p w:rsidR="002A7658" w:rsidRPr="00BF39D9" w:rsidRDefault="002A7658" w:rsidP="00AE2DE0">
            <w:pPr>
              <w:spacing w:after="0" w:line="240" w:lineRule="auto"/>
              <w:rPr>
                <w:color w:val="auto"/>
              </w:rPr>
            </w:pPr>
            <w:r w:rsidRPr="00BF39D9">
              <w:rPr>
                <w:color w:val="auto"/>
              </w:rPr>
              <w:t>2014</w:t>
            </w:r>
          </w:p>
        </w:tc>
        <w:tc>
          <w:tcPr>
            <w:tcW w:w="781"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2.567,9</w:t>
            </w:r>
          </w:p>
        </w:tc>
        <w:tc>
          <w:tcPr>
            <w:tcW w:w="986"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2,1%</w:t>
            </w:r>
          </w:p>
        </w:tc>
        <w:tc>
          <w:tcPr>
            <w:tcW w:w="969"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BF39D9">
              <w:rPr>
                <w:rFonts w:ascii="Arial" w:hAnsi="Arial" w:cs="Arial"/>
                <w:color w:val="auto"/>
                <w:sz w:val="18"/>
                <w:szCs w:val="18"/>
              </w:rPr>
              <w:t>463,0</w:t>
            </w:r>
          </w:p>
        </w:tc>
        <w:tc>
          <w:tcPr>
            <w:tcW w:w="968" w:type="pct"/>
            <w:noWrap/>
            <w:vAlign w:val="center"/>
            <w:hideMark/>
          </w:tcPr>
          <w:p w:rsidR="002A7658" w:rsidRPr="00BF39D9" w:rsidRDefault="002A7658" w:rsidP="00AE2DE0">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F39D9">
              <w:rPr>
                <w:color w:val="auto"/>
              </w:rPr>
              <w:t>2,0%</w:t>
            </w:r>
          </w:p>
        </w:tc>
      </w:tr>
      <w:tr w:rsidR="002A7658" w:rsidRPr="00BF39D9" w:rsidTr="00AE2DE0">
        <w:trPr>
          <w:trHeight w:val="300"/>
        </w:trPr>
        <w:tc>
          <w:tcPr>
            <w:cnfStyle w:val="001000000000" w:firstRow="0" w:lastRow="0" w:firstColumn="1" w:lastColumn="0" w:oddVBand="0" w:evenVBand="0" w:oddHBand="0" w:evenHBand="0" w:firstRowFirstColumn="0" w:firstRowLastColumn="0" w:lastRowFirstColumn="0" w:lastRowLastColumn="0"/>
            <w:tcW w:w="2078" w:type="pct"/>
            <w:gridSpan w:val="2"/>
            <w:vAlign w:val="center"/>
            <w:hideMark/>
          </w:tcPr>
          <w:p w:rsidR="002A7658" w:rsidRPr="00BF39D9" w:rsidRDefault="002A7658" w:rsidP="00AE2DE0">
            <w:pPr>
              <w:spacing w:after="0" w:line="240" w:lineRule="auto"/>
              <w:rPr>
                <w:rFonts w:eastAsia="Times New Roman"/>
                <w:color w:val="auto"/>
                <w:lang w:eastAsia="ca-ES"/>
              </w:rPr>
            </w:pPr>
            <w:r w:rsidRPr="00BF39D9">
              <w:rPr>
                <w:rFonts w:eastAsia="Times New Roman"/>
                <w:color w:val="auto"/>
                <w:lang w:eastAsia="ca-ES"/>
              </w:rPr>
              <w:t>% Variació entre 2007 i 2014</w:t>
            </w:r>
          </w:p>
        </w:tc>
        <w:tc>
          <w:tcPr>
            <w:tcW w:w="986"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BF39D9">
              <w:rPr>
                <w:rFonts w:ascii="Arial" w:eastAsia="Times New Roman" w:hAnsi="Arial" w:cs="Arial"/>
                <w:color w:val="auto"/>
                <w:sz w:val="20"/>
                <w:szCs w:val="20"/>
                <w:lang w:eastAsia="ca-ES"/>
              </w:rPr>
              <w:t>-18,8%</w:t>
            </w:r>
          </w:p>
        </w:tc>
        <w:tc>
          <w:tcPr>
            <w:tcW w:w="969"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p>
        </w:tc>
        <w:tc>
          <w:tcPr>
            <w:tcW w:w="968" w:type="pct"/>
            <w:noWrap/>
            <w:vAlign w:val="center"/>
            <w:hideMark/>
          </w:tcPr>
          <w:p w:rsidR="002A7658" w:rsidRPr="00BF39D9" w:rsidRDefault="002A7658" w:rsidP="00AE2D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ca-ES"/>
              </w:rPr>
            </w:pPr>
            <w:r w:rsidRPr="00BF39D9">
              <w:rPr>
                <w:rFonts w:ascii="Arial" w:eastAsia="Times New Roman" w:hAnsi="Arial" w:cs="Arial"/>
                <w:color w:val="auto"/>
                <w:sz w:val="20"/>
                <w:szCs w:val="20"/>
                <w:lang w:eastAsia="ca-ES"/>
              </w:rPr>
              <w:t>11,4%</w:t>
            </w:r>
          </w:p>
        </w:tc>
      </w:tr>
    </w:tbl>
    <w:p w:rsidR="002A7658" w:rsidRPr="000D4044" w:rsidRDefault="002A7658" w:rsidP="00AE2DE0">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Enquesta de Població Activa de l’INE.</w:t>
      </w:r>
    </w:p>
    <w:p w:rsidR="00BF39D9" w:rsidRDefault="00BF39D9">
      <w:pPr>
        <w:spacing w:after="0" w:line="240" w:lineRule="auto"/>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2A7658" w:rsidRPr="000D4044" w:rsidRDefault="002A7658" w:rsidP="00AE2DE0">
      <w:pPr>
        <w:tabs>
          <w:tab w:val="left" w:pos="2145"/>
        </w:tabs>
        <w:spacing w:line="360" w:lineRule="auto"/>
        <w:jc w:val="both"/>
        <w:rPr>
          <w:rFonts w:ascii="Arial" w:hAnsi="Arial" w:cs="Arial"/>
        </w:rPr>
      </w:pPr>
    </w:p>
    <w:p w:rsidR="002A7658" w:rsidRPr="000D4044" w:rsidRDefault="002A7658" w:rsidP="00AE2DE0">
      <w:pPr>
        <w:pStyle w:val="Prrafodelista1"/>
        <w:ind w:left="0"/>
        <w:jc w:val="left"/>
        <w:rPr>
          <w:rFonts w:ascii="Arial" w:hAnsi="Arial" w:cs="Arial"/>
          <w:b/>
          <w:sz w:val="20"/>
          <w:szCs w:val="20"/>
        </w:rPr>
      </w:pPr>
      <w:r w:rsidRPr="000D4044">
        <w:rPr>
          <w:rFonts w:ascii="Arial" w:hAnsi="Arial" w:cs="Arial"/>
          <w:b/>
          <w:sz w:val="20"/>
          <w:szCs w:val="20"/>
        </w:rPr>
        <w:t>Taxa d’ocupació a temps parcial per sexes Catalunya. Mitjanes anuals</w:t>
      </w:r>
    </w:p>
    <w:p w:rsidR="002A7658" w:rsidRPr="00AE2DE0"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81500" cy="2657475"/>
            <wp:effectExtent l="19050" t="0" r="19050" b="0"/>
            <wp:docPr id="7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A7658" w:rsidRPr="000D4044" w:rsidRDefault="002A7658" w:rsidP="00AE2DE0">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Enquesta de Població Activa de l’INE.</w:t>
      </w:r>
    </w:p>
    <w:p w:rsidR="002A7658" w:rsidRPr="000D4044" w:rsidRDefault="002A7658" w:rsidP="00AE2DE0">
      <w:pPr>
        <w:spacing w:line="360" w:lineRule="auto"/>
        <w:jc w:val="both"/>
        <w:rPr>
          <w:rFonts w:ascii="Arial" w:hAnsi="Arial" w:cs="Arial"/>
        </w:rPr>
      </w:pPr>
    </w:p>
    <w:p w:rsidR="00592786" w:rsidRDefault="00592786">
      <w:pPr>
        <w:spacing w:after="0" w:line="240" w:lineRule="auto"/>
        <w:rPr>
          <w:rFonts w:ascii="Arial" w:hAnsi="Arial" w:cs="Arial"/>
        </w:rPr>
      </w:pPr>
    </w:p>
    <w:p w:rsidR="002A7658" w:rsidRPr="000D4044" w:rsidRDefault="002A7658" w:rsidP="002A7658">
      <w:pPr>
        <w:spacing w:after="0" w:line="240" w:lineRule="auto"/>
        <w:jc w:val="both"/>
        <w:rPr>
          <w:rFonts w:ascii="Arial" w:hAnsi="Arial" w:cs="Arial"/>
        </w:rPr>
      </w:pPr>
    </w:p>
    <w:p w:rsidR="002A7658" w:rsidRPr="000D4044" w:rsidRDefault="002A7658" w:rsidP="00AE2DE0">
      <w:pPr>
        <w:pStyle w:val="Prrafodelista1"/>
        <w:ind w:left="0"/>
        <w:jc w:val="left"/>
        <w:rPr>
          <w:rFonts w:ascii="Arial" w:hAnsi="Arial" w:cs="Arial"/>
          <w:b/>
          <w:sz w:val="20"/>
          <w:szCs w:val="20"/>
        </w:rPr>
      </w:pPr>
      <w:r w:rsidRPr="000D4044">
        <w:rPr>
          <w:rFonts w:ascii="Arial" w:hAnsi="Arial" w:cs="Arial"/>
          <w:b/>
          <w:sz w:val="20"/>
          <w:szCs w:val="20"/>
        </w:rPr>
        <w:t>Taxa d’ocupació a temps parcial per edats a Catalunya. Mitjanes anuals</w:t>
      </w:r>
    </w:p>
    <w:p w:rsidR="002A7658" w:rsidRPr="00AE2DE0"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95800" cy="2628900"/>
            <wp:effectExtent l="19050" t="0" r="19050" b="0"/>
            <wp:docPr id="8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A7658" w:rsidRPr="000D4044" w:rsidRDefault="002A7658" w:rsidP="00AE2DE0">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Enquesta de Població Activa de l’INE.</w:t>
      </w:r>
    </w:p>
    <w:p w:rsidR="00BF39D9" w:rsidRDefault="00BF39D9">
      <w:pPr>
        <w:spacing w:after="0" w:line="240" w:lineRule="auto"/>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2A7658" w:rsidRPr="000D4044" w:rsidRDefault="002A7658" w:rsidP="00AE2DE0">
      <w:pPr>
        <w:pStyle w:val="Prrafodelista1"/>
        <w:spacing w:after="200" w:line="360" w:lineRule="auto"/>
        <w:ind w:left="0"/>
        <w:contextualSpacing w:val="0"/>
        <w:rPr>
          <w:rFonts w:ascii="Arial" w:hAnsi="Arial" w:cs="Arial"/>
        </w:rPr>
      </w:pPr>
    </w:p>
    <w:p w:rsidR="002A7658" w:rsidRPr="000D4044" w:rsidRDefault="002A7658" w:rsidP="00AE2DE0">
      <w:pPr>
        <w:pStyle w:val="Prrafodelista1"/>
        <w:ind w:left="0"/>
        <w:jc w:val="left"/>
        <w:rPr>
          <w:rFonts w:ascii="Arial" w:hAnsi="Arial" w:cs="Arial"/>
          <w:b/>
          <w:sz w:val="20"/>
          <w:szCs w:val="20"/>
        </w:rPr>
      </w:pPr>
      <w:r w:rsidRPr="000D4044">
        <w:rPr>
          <w:rFonts w:ascii="Arial" w:hAnsi="Arial" w:cs="Arial"/>
          <w:b/>
          <w:sz w:val="20"/>
          <w:szCs w:val="20"/>
        </w:rPr>
        <w:t>Taxa d’ocupació a temps parcial per nacionalitat a Catalunya. 4t trimestre de cada any</w:t>
      </w:r>
    </w:p>
    <w:p w:rsidR="002A7658" w:rsidRPr="00AE2DE0"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91025" cy="2571750"/>
            <wp:effectExtent l="19050" t="0" r="9525" b="0"/>
            <wp:docPr id="8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A7658" w:rsidRPr="000D4044" w:rsidRDefault="002A7658" w:rsidP="0039529B">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Elaboració pròpia a partir de l’explotació de les microdades de la EPA.</w:t>
      </w:r>
    </w:p>
    <w:p w:rsidR="00BF39D9" w:rsidRDefault="00BF39D9" w:rsidP="002A7658">
      <w:pPr>
        <w:spacing w:after="0" w:line="240" w:lineRule="auto"/>
        <w:jc w:val="both"/>
        <w:rPr>
          <w:rFonts w:ascii="Arial" w:hAnsi="Arial" w:cs="Arial"/>
        </w:rPr>
      </w:pPr>
    </w:p>
    <w:p w:rsidR="00BF39D9" w:rsidRPr="000D4044" w:rsidRDefault="00BF39D9" w:rsidP="002A7658">
      <w:pPr>
        <w:spacing w:after="0" w:line="240" w:lineRule="auto"/>
        <w:jc w:val="both"/>
        <w:rPr>
          <w:rFonts w:ascii="Arial" w:hAnsi="Arial" w:cs="Arial"/>
        </w:rPr>
      </w:pPr>
    </w:p>
    <w:p w:rsidR="002B6D45" w:rsidRPr="001D1F50" w:rsidRDefault="004F2ED9" w:rsidP="00AA2BE1">
      <w:pPr>
        <w:pStyle w:val="Prrafodelista1"/>
        <w:tabs>
          <w:tab w:val="left" w:pos="426"/>
        </w:tabs>
        <w:spacing w:after="200" w:line="360" w:lineRule="auto"/>
        <w:ind w:left="0"/>
        <w:rPr>
          <w:rFonts w:ascii="Arial" w:hAnsi="Arial" w:cs="Arial"/>
          <w:b/>
          <w:sz w:val="28"/>
          <w:szCs w:val="28"/>
        </w:rPr>
      </w:pPr>
      <w:r>
        <w:rPr>
          <w:rFonts w:ascii="Arial" w:hAnsi="Arial" w:cs="Arial"/>
          <w:b/>
          <w:sz w:val="28"/>
          <w:szCs w:val="28"/>
        </w:rPr>
        <w:t>5</w:t>
      </w:r>
      <w:r w:rsidR="002B6D45" w:rsidRPr="001D1F50">
        <w:rPr>
          <w:rFonts w:ascii="Arial" w:hAnsi="Arial" w:cs="Arial"/>
          <w:b/>
          <w:sz w:val="28"/>
          <w:szCs w:val="28"/>
        </w:rPr>
        <w:t>. Educació</w:t>
      </w:r>
      <w:r w:rsidR="006D311A">
        <w:rPr>
          <w:rFonts w:ascii="Arial" w:hAnsi="Arial" w:cs="Arial"/>
          <w:b/>
          <w:sz w:val="28"/>
          <w:szCs w:val="28"/>
        </w:rPr>
        <w:t>: resultats segons nivell</w:t>
      </w:r>
      <w:smartTag w:uri="urn:schemas-microsoft-com:office:smarttags" w:element="PersonName">
        <w:r w:rsidR="006D311A">
          <w:rPr>
            <w:rFonts w:ascii="Arial" w:hAnsi="Arial" w:cs="Arial"/>
            <w:b/>
            <w:sz w:val="28"/>
            <w:szCs w:val="28"/>
          </w:rPr>
          <w:t xml:space="preserve">s </w:t>
        </w:r>
        <w:r w:rsidR="006A3DB1">
          <w:rPr>
            <w:rFonts w:ascii="Arial" w:hAnsi="Arial" w:cs="Arial"/>
            <w:b/>
            <w:sz w:val="28"/>
            <w:szCs w:val="28"/>
          </w:rPr>
          <w:t>e</w:t>
        </w:r>
      </w:smartTag>
      <w:r w:rsidR="006A3DB1">
        <w:rPr>
          <w:rFonts w:ascii="Arial" w:hAnsi="Arial" w:cs="Arial"/>
          <w:b/>
          <w:sz w:val="28"/>
          <w:szCs w:val="28"/>
        </w:rPr>
        <w:t>conòmics</w:t>
      </w:r>
    </w:p>
    <w:p w:rsidR="002A7658" w:rsidRPr="000D4044" w:rsidRDefault="002A7658" w:rsidP="002A7658">
      <w:pPr>
        <w:jc w:val="both"/>
        <w:rPr>
          <w:rFonts w:ascii="Arial" w:hAnsi="Arial" w:cs="Arial"/>
        </w:rPr>
      </w:pPr>
      <w:r w:rsidRPr="000D4044">
        <w:rPr>
          <w:rFonts w:ascii="Arial" w:hAnsi="Arial" w:cs="Arial"/>
        </w:rPr>
        <w:t>La sociologia de l’educació i del treball, han demostrat abastament que es pot establir una correlació estadística directa entre el nivell de titulació acadèmica assolit per un individu i els recursos econòmics i de desenvolupament personal de què disposa i la capacitat i la forma d’obtenir-los. Es tracta d’una relació circular causa-efecte, en què l’origen socioeconòmic familiar incideix en els resultats acadèmics dels fills i aquests resultats afavoreixen, en major o menor grau, unes posicions en el mercat de treball que tendeixen a reforçar i, per tant, reproduir, les desigualtats d’origen. Són les polítiques públiques d’educació, les que poden corregir aquest sistema de reproducció social a través dels resultats acadèmic</w:t>
      </w:r>
      <w:r w:rsidR="00653D55">
        <w:rPr>
          <w:rFonts w:ascii="Arial" w:hAnsi="Arial" w:cs="Arial"/>
        </w:rPr>
        <w:t>s i reduir així la desigualtat.</w:t>
      </w:r>
    </w:p>
    <w:p w:rsidR="002A7658" w:rsidRPr="000D4044" w:rsidRDefault="00C47918" w:rsidP="002A7658">
      <w:pPr>
        <w:jc w:val="both"/>
        <w:rPr>
          <w:rFonts w:ascii="Arial" w:hAnsi="Arial" w:cs="Arial"/>
        </w:rPr>
      </w:pPr>
      <w:r>
        <w:rPr>
          <w:rFonts w:ascii="Arial" w:hAnsi="Arial" w:cs="Arial"/>
        </w:rPr>
        <w:t>E</w:t>
      </w:r>
      <w:r w:rsidR="002A7658" w:rsidRPr="000D4044">
        <w:rPr>
          <w:rFonts w:ascii="Arial" w:hAnsi="Arial" w:cs="Arial"/>
        </w:rPr>
        <w:t>s presenten dues taules, basades en les proves PISA efectuades a Catalunya l’any 2006 i 2009, que mostren la correlació de la que estem parlant. En la primera taula observem com el percentatge de baixos resultats, en ciències, matemàtiques i lectura, del grup d’alumnes de famílies amb el nivell de riquesa més baix, duplica el percentatge de baixos resultats en el grup d’alumnes de famílies amb el nivell de riquesa més alt. La següent taula ens mostra com tot i que els resultats van millorar per a tots els grups socioeconòmics entre les proves del 2006 i les del 2009, la desigual distribució de puntuació mitjana entre els diferents nivells socioeconòmics familiars es manté.</w:t>
      </w:r>
    </w:p>
    <w:p w:rsidR="002A7658" w:rsidRPr="000D4044" w:rsidRDefault="002A7658" w:rsidP="002A7658">
      <w:pPr>
        <w:jc w:val="both"/>
        <w:rPr>
          <w:rFonts w:ascii="Arial" w:hAnsi="Arial" w:cs="Arial"/>
        </w:rPr>
      </w:pPr>
      <w:r w:rsidRPr="000D4044">
        <w:rPr>
          <w:rFonts w:ascii="Arial" w:hAnsi="Arial" w:cs="Arial"/>
        </w:rPr>
        <w:t xml:space="preserve">En la tercera taula d’aquest punt podem observar com el nivell de titulació acadèmica assolit incideix en els efectes que té la crisi d’ocupació sobre els individus. Veiem que la taxa d’atur es més alta com menys titulació es té, però també que la crisi incrementa les diferències. Tot i que l’atur creix en tots els grups de nivells d’estudis, podem observar que la desigualtat respecte el mercat de treball augmenta, atès que si l’any 2007 la diferència entre la taxa del grup d’estudis més baix i la del grup d’estudis més </w:t>
      </w:r>
      <w:r w:rsidRPr="000D4044">
        <w:rPr>
          <w:rFonts w:ascii="Arial" w:hAnsi="Arial" w:cs="Arial"/>
        </w:rPr>
        <w:lastRenderedPageBreak/>
        <w:t>alt era de 6,4 punts percentuals, en el 2014 aquesta diferència és de gairebé 22 punts, tot i la reducció general de la taxa.</w:t>
      </w:r>
    </w:p>
    <w:p w:rsidR="002A7658" w:rsidRPr="000D4044" w:rsidRDefault="002A7658" w:rsidP="002A7658">
      <w:pPr>
        <w:jc w:val="both"/>
        <w:rPr>
          <w:rFonts w:ascii="Arial" w:hAnsi="Arial" w:cs="Arial"/>
        </w:rPr>
      </w:pPr>
      <w:r w:rsidRPr="000D4044">
        <w:rPr>
          <w:rFonts w:ascii="Arial" w:hAnsi="Arial" w:cs="Arial"/>
        </w:rPr>
        <w:t>La darrera taula ens mostra que si bé els pressupostos de la Generalitat per educació havien anat creixent fins al 2010, a partir del 2011 comencen a disminuir, en aplicació de les polítiques de retallada de la despesa, mentre que l’increment d’alumnes continua. De manera que els recursos per alumne disminueixen.</w:t>
      </w:r>
    </w:p>
    <w:p w:rsidR="002A7658" w:rsidRPr="000D4044" w:rsidRDefault="002A7658" w:rsidP="002A7658">
      <w:pPr>
        <w:jc w:val="both"/>
        <w:rPr>
          <w:rFonts w:ascii="Arial" w:hAnsi="Arial" w:cs="Arial"/>
        </w:rPr>
      </w:pPr>
      <w:r w:rsidRPr="000D4044">
        <w:rPr>
          <w:rFonts w:ascii="Arial" w:hAnsi="Arial" w:cs="Arial"/>
        </w:rPr>
        <w:t>Per tant, observem, d’una banda, un empitjorament de les possibilitats d’ocupació, que afecta més a les persones amb menys estudis, empitjorament que condicionarà negativament els resultats acadèmics dels fills i filles d’aquestes famílies. I d’altra banda</w:t>
      </w:r>
      <w:r w:rsidR="00841031">
        <w:rPr>
          <w:rFonts w:ascii="Arial" w:hAnsi="Arial" w:cs="Arial"/>
        </w:rPr>
        <w:t>, tenim</w:t>
      </w:r>
      <w:r w:rsidRPr="000D4044">
        <w:rPr>
          <w:rFonts w:ascii="Arial" w:hAnsi="Arial" w:cs="Arial"/>
        </w:rPr>
        <w:t xml:space="preserve"> una reducció del pressupost públic d’una de les eines més importants per combatre aquest cercle reproductor de desigualtats: l’educació.</w:t>
      </w:r>
    </w:p>
    <w:p w:rsidR="002A7658" w:rsidRDefault="002A7658" w:rsidP="002A7658">
      <w:pPr>
        <w:spacing w:after="0" w:line="240" w:lineRule="auto"/>
        <w:jc w:val="both"/>
        <w:rPr>
          <w:rFonts w:ascii="Arial" w:hAnsi="Arial" w:cs="Arial"/>
        </w:rPr>
      </w:pPr>
    </w:p>
    <w:p w:rsidR="00592786" w:rsidRDefault="00592786">
      <w:pPr>
        <w:spacing w:after="0" w:line="240" w:lineRule="auto"/>
        <w:rPr>
          <w:rFonts w:ascii="Arial" w:hAnsi="Arial" w:cs="Arial"/>
        </w:rPr>
      </w:pPr>
    </w:p>
    <w:p w:rsidR="00BF39D9" w:rsidRPr="000D4044" w:rsidRDefault="00BF39D9" w:rsidP="002A7658">
      <w:pPr>
        <w:spacing w:after="0" w:line="240" w:lineRule="auto"/>
        <w:jc w:val="both"/>
        <w:rPr>
          <w:rFonts w:ascii="Arial" w:hAnsi="Arial" w:cs="Arial"/>
        </w:rPr>
      </w:pPr>
    </w:p>
    <w:p w:rsidR="002A7658" w:rsidRPr="000D4044" w:rsidRDefault="002A7658" w:rsidP="0039529B">
      <w:pPr>
        <w:spacing w:after="0"/>
        <w:rPr>
          <w:rFonts w:ascii="Arial" w:hAnsi="Arial" w:cs="Arial"/>
          <w:b/>
          <w:sz w:val="20"/>
          <w:szCs w:val="20"/>
        </w:rPr>
      </w:pPr>
      <w:r w:rsidRPr="000D4044">
        <w:rPr>
          <w:rFonts w:ascii="Arial" w:hAnsi="Arial" w:cs="Arial"/>
          <w:b/>
          <w:sz w:val="20"/>
          <w:szCs w:val="20"/>
        </w:rPr>
        <w:t>Percentatge de baixos resultats a les proves PISA 2006 segons riquesa de les llars</w:t>
      </w:r>
    </w:p>
    <w:p w:rsidR="002A7658" w:rsidRPr="0039529B" w:rsidRDefault="002A7658" w:rsidP="002A7658">
      <w:pPr>
        <w:spacing w:after="0"/>
        <w:jc w:val="both"/>
        <w:rPr>
          <w:rFonts w:ascii="Arial" w:hAnsi="Arial" w:cs="Arial"/>
          <w:sz w:val="16"/>
          <w:szCs w:val="16"/>
        </w:rPr>
      </w:pPr>
      <w:r w:rsidRPr="000D4044">
        <w:rPr>
          <w:rFonts w:ascii="Arial" w:hAnsi="Arial" w:cs="Arial"/>
          <w:noProof/>
          <w:lang w:eastAsia="ca-ES"/>
        </w:rPr>
        <w:drawing>
          <wp:inline distT="0" distB="0" distL="0" distR="0">
            <wp:extent cx="4324350" cy="2552700"/>
            <wp:effectExtent l="19050" t="0" r="0" b="0"/>
            <wp:docPr id="38"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50" cstate="print"/>
                    <a:srcRect/>
                    <a:stretch>
                      <a:fillRect/>
                    </a:stretch>
                  </pic:blipFill>
                  <pic:spPr bwMode="auto">
                    <a:xfrm>
                      <a:off x="0" y="0"/>
                      <a:ext cx="4324350" cy="2552700"/>
                    </a:xfrm>
                    <a:prstGeom prst="rect">
                      <a:avLst/>
                    </a:prstGeom>
                    <a:noFill/>
                    <a:ln w="9525">
                      <a:noFill/>
                      <a:miter lim="800000"/>
                      <a:headEnd/>
                      <a:tailEnd/>
                    </a:ln>
                  </pic:spPr>
                </pic:pic>
              </a:graphicData>
            </a:graphic>
          </wp:inline>
        </w:drawing>
      </w:r>
    </w:p>
    <w:p w:rsidR="002A7658" w:rsidRPr="000D4044" w:rsidRDefault="002A7658" w:rsidP="002A7658">
      <w:pPr>
        <w:spacing w:after="0"/>
        <w:ind w:left="142"/>
        <w:jc w:val="both"/>
        <w:rPr>
          <w:rFonts w:ascii="Arial" w:hAnsi="Arial" w:cs="Arial"/>
          <w:sz w:val="16"/>
          <w:szCs w:val="16"/>
        </w:rPr>
      </w:pPr>
      <w:r w:rsidRPr="000D4044">
        <w:rPr>
          <w:rFonts w:ascii="Arial" w:hAnsi="Arial" w:cs="Arial"/>
          <w:sz w:val="16"/>
          <w:szCs w:val="16"/>
        </w:rPr>
        <w:t>*Els quintils representen trams de riquesa familiar i van de, Quintil 1= menor riquesa,</w:t>
      </w:r>
    </w:p>
    <w:p w:rsidR="002A7658" w:rsidRPr="000D4044" w:rsidRDefault="002A7658" w:rsidP="002A7658">
      <w:pPr>
        <w:spacing w:after="0"/>
        <w:ind w:left="142"/>
        <w:jc w:val="both"/>
        <w:rPr>
          <w:rFonts w:ascii="Arial" w:hAnsi="Arial" w:cs="Arial"/>
          <w:sz w:val="16"/>
          <w:szCs w:val="16"/>
        </w:rPr>
      </w:pPr>
      <w:r w:rsidRPr="000D4044">
        <w:rPr>
          <w:rFonts w:ascii="Arial" w:hAnsi="Arial" w:cs="Arial"/>
          <w:sz w:val="16"/>
          <w:szCs w:val="16"/>
        </w:rPr>
        <w:t xml:space="preserve"> a Quintil 5= màxima riquesa</w:t>
      </w:r>
    </w:p>
    <w:p w:rsidR="002A7658" w:rsidRPr="000D4044" w:rsidRDefault="002A7658" w:rsidP="0039529B">
      <w:pPr>
        <w:spacing w:line="360" w:lineRule="auto"/>
        <w:ind w:left="142"/>
        <w:jc w:val="both"/>
        <w:rPr>
          <w:rFonts w:ascii="Arial" w:hAnsi="Arial" w:cs="Arial"/>
          <w:sz w:val="16"/>
          <w:szCs w:val="16"/>
        </w:rPr>
      </w:pPr>
      <w:r w:rsidRPr="000D4044">
        <w:rPr>
          <w:rFonts w:ascii="Arial" w:hAnsi="Arial" w:cs="Arial"/>
          <w:sz w:val="16"/>
          <w:szCs w:val="16"/>
        </w:rPr>
        <w:t>Font:</w:t>
      </w:r>
      <w:hyperlink r:id="rId51" w:history="1">
        <w:r w:rsidRPr="00E62FA8">
          <w:rPr>
            <w:rStyle w:val="Hipervnculo"/>
            <w:rFonts w:ascii="Arial" w:hAnsi="Arial" w:cs="Arial"/>
            <w:i/>
            <w:sz w:val="16"/>
            <w:szCs w:val="16"/>
          </w:rPr>
          <w:t>Informe sobre el risc de fracàs escolar a Catalunya</w:t>
        </w:r>
      </w:hyperlink>
      <w:r w:rsidRPr="000D4044">
        <w:rPr>
          <w:rFonts w:ascii="Arial" w:hAnsi="Arial" w:cs="Arial"/>
          <w:sz w:val="16"/>
          <w:szCs w:val="16"/>
        </w:rPr>
        <w:t>.(2011) CTESC. Barcelona.</w:t>
      </w:r>
    </w:p>
    <w:p w:rsidR="00BF39D9" w:rsidRDefault="00BF39D9">
      <w:pPr>
        <w:spacing w:after="0" w:line="240" w:lineRule="auto"/>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2A7658" w:rsidRPr="000D4044" w:rsidRDefault="002A7658" w:rsidP="0039529B">
      <w:pPr>
        <w:pStyle w:val="Prrafodelista1"/>
        <w:spacing w:after="200" w:line="360" w:lineRule="auto"/>
        <w:ind w:left="0"/>
        <w:contextualSpacing w:val="0"/>
        <w:rPr>
          <w:rFonts w:ascii="Arial" w:hAnsi="Arial" w:cs="Arial"/>
        </w:rPr>
      </w:pPr>
    </w:p>
    <w:p w:rsidR="002A7658" w:rsidRPr="000D4044" w:rsidRDefault="002A7658" w:rsidP="0039529B">
      <w:pPr>
        <w:pStyle w:val="Prrafodelista1"/>
        <w:ind w:left="0"/>
        <w:jc w:val="left"/>
        <w:rPr>
          <w:rFonts w:ascii="Arial" w:hAnsi="Arial" w:cs="Arial"/>
          <w:b/>
          <w:sz w:val="20"/>
          <w:szCs w:val="20"/>
        </w:rPr>
      </w:pPr>
      <w:r w:rsidRPr="000D4044">
        <w:rPr>
          <w:rFonts w:ascii="Arial" w:hAnsi="Arial" w:cs="Arial"/>
          <w:b/>
          <w:sz w:val="20"/>
          <w:szCs w:val="20"/>
        </w:rPr>
        <w:t>Resultats mitjans de comprensió lectora segons el nivell socioeconòmic familiar a Catalunya. Proves PISA 2006 i 2009</w:t>
      </w:r>
    </w:p>
    <w:p w:rsidR="002A7658" w:rsidRPr="0039529B" w:rsidRDefault="002A7658" w:rsidP="002A7658">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91025" cy="2752725"/>
            <wp:effectExtent l="19050" t="0" r="9525" b="0"/>
            <wp:docPr id="39"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52" cstate="print"/>
                    <a:srcRect/>
                    <a:stretch>
                      <a:fillRect/>
                    </a:stretch>
                  </pic:blipFill>
                  <pic:spPr bwMode="auto">
                    <a:xfrm>
                      <a:off x="0" y="0"/>
                      <a:ext cx="4391025" cy="2752725"/>
                    </a:xfrm>
                    <a:prstGeom prst="rect">
                      <a:avLst/>
                    </a:prstGeom>
                    <a:noFill/>
                    <a:ln w="9525">
                      <a:noFill/>
                      <a:miter lim="800000"/>
                      <a:headEnd/>
                      <a:tailEnd/>
                    </a:ln>
                  </pic:spPr>
                </pic:pic>
              </a:graphicData>
            </a:graphic>
          </wp:inline>
        </w:drawing>
      </w:r>
    </w:p>
    <w:p w:rsidR="002A7658" w:rsidRPr="000D4044" w:rsidRDefault="002A7658" w:rsidP="0039529B">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Consell Superior d’Avaluació del sistema Educatiu. Generalitat de Catalunya.</w:t>
      </w:r>
    </w:p>
    <w:p w:rsidR="002A7658" w:rsidRPr="0039529B" w:rsidRDefault="002A7658" w:rsidP="0039529B">
      <w:pPr>
        <w:pStyle w:val="Prrafodelista1"/>
        <w:spacing w:after="200" w:line="360" w:lineRule="auto"/>
        <w:ind w:left="0"/>
        <w:contextualSpacing w:val="0"/>
        <w:rPr>
          <w:rFonts w:ascii="Arial" w:hAnsi="Arial" w:cs="Arial"/>
          <w:sz w:val="20"/>
          <w:szCs w:val="20"/>
        </w:rPr>
      </w:pPr>
    </w:p>
    <w:p w:rsidR="00592786" w:rsidRDefault="00592786">
      <w:pPr>
        <w:spacing w:after="0" w:line="240" w:lineRule="auto"/>
        <w:rPr>
          <w:rFonts w:ascii="Arial" w:hAnsi="Arial" w:cs="Arial"/>
          <w:b/>
          <w:sz w:val="20"/>
          <w:szCs w:val="20"/>
        </w:rPr>
      </w:pPr>
    </w:p>
    <w:p w:rsidR="002A7658" w:rsidRPr="000D4044" w:rsidRDefault="002A7658" w:rsidP="00653D55">
      <w:pPr>
        <w:spacing w:after="0" w:line="240" w:lineRule="auto"/>
        <w:jc w:val="both"/>
        <w:rPr>
          <w:rFonts w:ascii="Arial" w:hAnsi="Arial" w:cs="Arial"/>
          <w:b/>
          <w:sz w:val="20"/>
          <w:szCs w:val="20"/>
        </w:rPr>
      </w:pPr>
    </w:p>
    <w:p w:rsidR="002A7658" w:rsidRPr="000D4044" w:rsidRDefault="002A7658" w:rsidP="0039529B">
      <w:pPr>
        <w:pStyle w:val="Prrafodelista1"/>
        <w:ind w:left="0"/>
        <w:jc w:val="left"/>
        <w:rPr>
          <w:rFonts w:ascii="Arial" w:hAnsi="Arial" w:cs="Arial"/>
        </w:rPr>
      </w:pPr>
      <w:r w:rsidRPr="000D4044">
        <w:rPr>
          <w:rFonts w:ascii="Arial" w:hAnsi="Arial" w:cs="Arial"/>
          <w:b/>
          <w:sz w:val="20"/>
          <w:szCs w:val="20"/>
        </w:rPr>
        <w:t>Taxa d’atur a Catalunya segons el nivell d’estudis acabat. 4t trimestre de cada any</w:t>
      </w:r>
    </w:p>
    <w:tbl>
      <w:tblPr>
        <w:tblStyle w:val="Sombreadoclaro-nfasis111"/>
        <w:tblW w:w="5000" w:type="pct"/>
        <w:tblLook w:val="04A0" w:firstRow="1" w:lastRow="0" w:firstColumn="1" w:lastColumn="0" w:noHBand="0" w:noVBand="1"/>
      </w:tblPr>
      <w:tblGrid>
        <w:gridCol w:w="1531"/>
        <w:gridCol w:w="1645"/>
        <w:gridCol w:w="2091"/>
        <w:gridCol w:w="1957"/>
        <w:gridCol w:w="1496"/>
      </w:tblGrid>
      <w:tr w:rsidR="002A7658" w:rsidRPr="00BF39D9" w:rsidTr="0039529B">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878" w:type="pct"/>
            <w:noWrap/>
          </w:tcPr>
          <w:p w:rsidR="002A7658" w:rsidRPr="00BF39D9" w:rsidRDefault="002A7658" w:rsidP="002A7658">
            <w:pPr>
              <w:spacing w:after="0"/>
              <w:rPr>
                <w:b w:val="0"/>
                <w:color w:val="auto"/>
              </w:rPr>
            </w:pPr>
          </w:p>
        </w:tc>
        <w:tc>
          <w:tcPr>
            <w:tcW w:w="943" w:type="pct"/>
            <w:vAlign w:val="center"/>
          </w:tcPr>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ca-ES"/>
              </w:rPr>
            </w:pPr>
            <w:r w:rsidRPr="00BF39D9">
              <w:rPr>
                <w:rFonts w:eastAsia="Times New Roman" w:cs="Arial"/>
                <w:color w:val="auto"/>
                <w:lang w:eastAsia="ca-ES"/>
              </w:rPr>
              <w:t>Analfabets i educació primària</w:t>
            </w:r>
          </w:p>
        </w:tc>
        <w:tc>
          <w:tcPr>
            <w:tcW w:w="1199" w:type="pct"/>
            <w:vAlign w:val="center"/>
          </w:tcPr>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ca-ES"/>
              </w:rPr>
            </w:pPr>
            <w:r w:rsidRPr="00BF39D9">
              <w:rPr>
                <w:rFonts w:eastAsia="Times New Roman" w:cs="Arial"/>
                <w:color w:val="auto"/>
                <w:lang w:eastAsia="ca-ES"/>
              </w:rPr>
              <w:t>Educació secundària</w:t>
            </w:r>
          </w:p>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ca-ES"/>
              </w:rPr>
            </w:pPr>
            <w:r w:rsidRPr="00BF39D9">
              <w:rPr>
                <w:rFonts w:eastAsia="Times New Roman" w:cs="Arial"/>
                <w:color w:val="auto"/>
                <w:lang w:eastAsia="ca-ES"/>
              </w:rPr>
              <w:t>1a etapa</w:t>
            </w:r>
          </w:p>
        </w:tc>
        <w:tc>
          <w:tcPr>
            <w:tcW w:w="1122" w:type="pct"/>
            <w:vAlign w:val="center"/>
          </w:tcPr>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ca-ES"/>
              </w:rPr>
            </w:pPr>
            <w:r w:rsidRPr="00BF39D9">
              <w:rPr>
                <w:rFonts w:eastAsia="Times New Roman" w:cs="Arial"/>
                <w:color w:val="auto"/>
                <w:lang w:eastAsia="ca-ES"/>
              </w:rPr>
              <w:t>Educació secundària</w:t>
            </w:r>
          </w:p>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ca-ES"/>
              </w:rPr>
            </w:pPr>
            <w:r w:rsidRPr="00BF39D9">
              <w:rPr>
                <w:rFonts w:eastAsia="Times New Roman" w:cs="Arial"/>
                <w:color w:val="auto"/>
                <w:lang w:eastAsia="ca-ES"/>
              </w:rPr>
              <w:t>2a etapa</w:t>
            </w:r>
          </w:p>
        </w:tc>
        <w:tc>
          <w:tcPr>
            <w:tcW w:w="858" w:type="pct"/>
            <w:vAlign w:val="center"/>
          </w:tcPr>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auto"/>
                <w:lang w:eastAsia="ca-ES"/>
              </w:rPr>
            </w:pPr>
            <w:r w:rsidRPr="00BF39D9">
              <w:rPr>
                <w:rFonts w:eastAsia="Times New Roman" w:cs="Arial"/>
                <w:color w:val="auto"/>
                <w:lang w:eastAsia="ca-ES"/>
              </w:rPr>
              <w:t>Estudis superiors</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rFonts w:eastAsia="Times New Roman" w:cs="Arial"/>
                <w:b w:val="0"/>
                <w:color w:val="auto"/>
                <w:lang w:eastAsia="ca-ES"/>
              </w:rPr>
            </w:pPr>
            <w:r w:rsidRPr="00BF39D9">
              <w:rPr>
                <w:rFonts w:eastAsia="Times New Roman" w:cs="Arial"/>
                <w:color w:val="auto"/>
                <w:lang w:eastAsia="ca-ES"/>
              </w:rPr>
              <w:t>2007</w:t>
            </w:r>
          </w:p>
        </w:tc>
        <w:tc>
          <w:tcPr>
            <w:tcW w:w="943"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10,5</w:t>
            </w:r>
          </w:p>
        </w:tc>
        <w:tc>
          <w:tcPr>
            <w:tcW w:w="1199"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7,4</w:t>
            </w:r>
          </w:p>
        </w:tc>
        <w:tc>
          <w:tcPr>
            <w:tcW w:w="1122"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6,3</w:t>
            </w:r>
          </w:p>
        </w:tc>
        <w:tc>
          <w:tcPr>
            <w:tcW w:w="858"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4,1</w:t>
            </w:r>
          </w:p>
        </w:tc>
      </w:tr>
      <w:tr w:rsidR="002A7658"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rFonts w:eastAsia="Times New Roman" w:cs="Arial"/>
                <w:b w:val="0"/>
                <w:color w:val="auto"/>
                <w:lang w:eastAsia="ca-ES"/>
              </w:rPr>
            </w:pPr>
            <w:r w:rsidRPr="00BF39D9">
              <w:rPr>
                <w:rFonts w:eastAsia="Times New Roman" w:cs="Arial"/>
                <w:color w:val="auto"/>
                <w:lang w:eastAsia="ca-ES"/>
              </w:rPr>
              <w:t>2008</w:t>
            </w:r>
          </w:p>
        </w:tc>
        <w:tc>
          <w:tcPr>
            <w:tcW w:w="943"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17,8</w:t>
            </w:r>
          </w:p>
        </w:tc>
        <w:tc>
          <w:tcPr>
            <w:tcW w:w="1199"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15,2</w:t>
            </w:r>
          </w:p>
        </w:tc>
        <w:tc>
          <w:tcPr>
            <w:tcW w:w="1122"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12,4</w:t>
            </w:r>
          </w:p>
        </w:tc>
        <w:tc>
          <w:tcPr>
            <w:tcW w:w="858"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5,4</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rFonts w:eastAsia="Times New Roman" w:cs="Arial"/>
                <w:b w:val="0"/>
                <w:color w:val="auto"/>
                <w:lang w:eastAsia="ca-ES"/>
              </w:rPr>
            </w:pPr>
            <w:r w:rsidRPr="00BF39D9">
              <w:rPr>
                <w:rFonts w:eastAsia="Times New Roman" w:cs="Arial"/>
                <w:color w:val="auto"/>
                <w:lang w:eastAsia="ca-ES"/>
              </w:rPr>
              <w:t>2009</w:t>
            </w:r>
          </w:p>
        </w:tc>
        <w:tc>
          <w:tcPr>
            <w:tcW w:w="943"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25,3</w:t>
            </w:r>
          </w:p>
        </w:tc>
        <w:tc>
          <w:tcPr>
            <w:tcW w:w="1199"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24,0</w:t>
            </w:r>
          </w:p>
        </w:tc>
        <w:tc>
          <w:tcPr>
            <w:tcW w:w="1122"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16,5</w:t>
            </w:r>
          </w:p>
        </w:tc>
        <w:tc>
          <w:tcPr>
            <w:tcW w:w="858"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7,5</w:t>
            </w:r>
          </w:p>
        </w:tc>
      </w:tr>
      <w:tr w:rsidR="002A7658"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rFonts w:eastAsia="Times New Roman" w:cs="Arial"/>
                <w:b w:val="0"/>
                <w:color w:val="auto"/>
                <w:lang w:eastAsia="ca-ES"/>
              </w:rPr>
            </w:pPr>
            <w:r w:rsidRPr="00BF39D9">
              <w:rPr>
                <w:rFonts w:eastAsia="Times New Roman" w:cs="Arial"/>
                <w:color w:val="auto"/>
                <w:lang w:eastAsia="ca-ES"/>
              </w:rPr>
              <w:t>2010</w:t>
            </w:r>
          </w:p>
        </w:tc>
        <w:tc>
          <w:tcPr>
            <w:tcW w:w="943"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26,4</w:t>
            </w:r>
          </w:p>
        </w:tc>
        <w:tc>
          <w:tcPr>
            <w:tcW w:w="1199"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23,0</w:t>
            </w:r>
          </w:p>
        </w:tc>
        <w:tc>
          <w:tcPr>
            <w:tcW w:w="1122"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17,0</w:t>
            </w:r>
          </w:p>
        </w:tc>
        <w:tc>
          <w:tcPr>
            <w:tcW w:w="858"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10,3</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rFonts w:eastAsia="Times New Roman" w:cs="Arial"/>
                <w:b w:val="0"/>
                <w:color w:val="auto"/>
                <w:lang w:eastAsia="ca-ES"/>
              </w:rPr>
            </w:pPr>
            <w:r w:rsidRPr="00BF39D9">
              <w:rPr>
                <w:rFonts w:eastAsia="Times New Roman" w:cs="Arial"/>
                <w:color w:val="auto"/>
                <w:lang w:eastAsia="ca-ES"/>
              </w:rPr>
              <w:t>2011</w:t>
            </w:r>
          </w:p>
        </w:tc>
        <w:tc>
          <w:tcPr>
            <w:tcW w:w="943"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31,9</w:t>
            </w:r>
          </w:p>
        </w:tc>
        <w:tc>
          <w:tcPr>
            <w:tcW w:w="1199"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24,6</w:t>
            </w:r>
          </w:p>
        </w:tc>
        <w:tc>
          <w:tcPr>
            <w:tcW w:w="1122"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20,5</w:t>
            </w:r>
          </w:p>
        </w:tc>
        <w:tc>
          <w:tcPr>
            <w:tcW w:w="858"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12,5</w:t>
            </w:r>
          </w:p>
        </w:tc>
      </w:tr>
      <w:tr w:rsidR="002A7658"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rFonts w:eastAsia="Times New Roman" w:cs="Arial"/>
                <w:b w:val="0"/>
                <w:color w:val="auto"/>
                <w:lang w:eastAsia="ca-ES"/>
              </w:rPr>
            </w:pPr>
            <w:r w:rsidRPr="00BF39D9">
              <w:rPr>
                <w:rFonts w:eastAsia="Times New Roman" w:cs="Arial"/>
                <w:color w:val="auto"/>
                <w:lang w:eastAsia="ca-ES"/>
              </w:rPr>
              <w:t>2012</w:t>
            </w:r>
          </w:p>
        </w:tc>
        <w:tc>
          <w:tcPr>
            <w:tcW w:w="943"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36,9</w:t>
            </w:r>
          </w:p>
        </w:tc>
        <w:tc>
          <w:tcPr>
            <w:tcW w:w="1199"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30,6</w:t>
            </w:r>
          </w:p>
        </w:tc>
        <w:tc>
          <w:tcPr>
            <w:tcW w:w="1122"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23,2</w:t>
            </w:r>
          </w:p>
        </w:tc>
        <w:tc>
          <w:tcPr>
            <w:tcW w:w="858"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14,2</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rFonts w:eastAsia="Times New Roman" w:cs="Arial"/>
                <w:b w:val="0"/>
                <w:color w:val="auto"/>
                <w:lang w:eastAsia="ca-ES"/>
              </w:rPr>
            </w:pPr>
            <w:r w:rsidRPr="00BF39D9">
              <w:rPr>
                <w:rFonts w:eastAsia="Times New Roman" w:cs="Arial"/>
                <w:color w:val="auto"/>
                <w:lang w:eastAsia="ca-ES"/>
              </w:rPr>
              <w:t>2013</w:t>
            </w:r>
          </w:p>
        </w:tc>
        <w:tc>
          <w:tcPr>
            <w:tcW w:w="943"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35,5</w:t>
            </w:r>
          </w:p>
        </w:tc>
        <w:tc>
          <w:tcPr>
            <w:tcW w:w="1199"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27,8</w:t>
            </w:r>
          </w:p>
        </w:tc>
        <w:tc>
          <w:tcPr>
            <w:tcW w:w="1122"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22,7</w:t>
            </w:r>
          </w:p>
        </w:tc>
        <w:tc>
          <w:tcPr>
            <w:tcW w:w="858"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ca-ES"/>
              </w:rPr>
            </w:pPr>
            <w:r w:rsidRPr="00BF39D9">
              <w:rPr>
                <w:rFonts w:eastAsia="Times New Roman" w:cs="Arial"/>
                <w:color w:val="auto"/>
                <w:lang w:eastAsia="ca-ES"/>
              </w:rPr>
              <w:t>12,9</w:t>
            </w:r>
          </w:p>
        </w:tc>
      </w:tr>
      <w:tr w:rsidR="002A7658"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878" w:type="pct"/>
            <w:noWrap/>
            <w:vAlign w:val="center"/>
          </w:tcPr>
          <w:p w:rsidR="002A7658" w:rsidRPr="00BF39D9" w:rsidRDefault="002A7658" w:rsidP="0039529B">
            <w:pPr>
              <w:spacing w:after="0"/>
              <w:rPr>
                <w:color w:val="auto"/>
              </w:rPr>
            </w:pPr>
            <w:r w:rsidRPr="00BF39D9">
              <w:rPr>
                <w:color w:val="auto"/>
              </w:rPr>
              <w:t>2014</w:t>
            </w:r>
          </w:p>
        </w:tc>
        <w:tc>
          <w:tcPr>
            <w:tcW w:w="943"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33,2</w:t>
            </w:r>
          </w:p>
        </w:tc>
        <w:tc>
          <w:tcPr>
            <w:tcW w:w="1199"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27,1</w:t>
            </w:r>
          </w:p>
        </w:tc>
        <w:tc>
          <w:tcPr>
            <w:tcW w:w="1122"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19,7</w:t>
            </w:r>
          </w:p>
        </w:tc>
        <w:tc>
          <w:tcPr>
            <w:tcW w:w="858"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color w:val="auto"/>
              </w:rPr>
            </w:pPr>
            <w:r w:rsidRPr="00BF39D9">
              <w:rPr>
                <w:color w:val="auto"/>
              </w:rPr>
              <w:t>11,7</w:t>
            </w:r>
          </w:p>
        </w:tc>
      </w:tr>
    </w:tbl>
    <w:p w:rsidR="002A7658" w:rsidRPr="000D4044" w:rsidRDefault="002A7658" w:rsidP="0039529B">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Elaboració pròpia a partir de l’explotació de les microdades de la EPA.</w:t>
      </w:r>
    </w:p>
    <w:p w:rsidR="00BF39D9" w:rsidRDefault="00BF39D9">
      <w:pPr>
        <w:spacing w:after="0" w:line="240" w:lineRule="auto"/>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2A7658" w:rsidRPr="000D4044" w:rsidRDefault="002A7658" w:rsidP="0039529B">
      <w:pPr>
        <w:spacing w:line="360" w:lineRule="auto"/>
        <w:jc w:val="both"/>
        <w:rPr>
          <w:rFonts w:ascii="Arial" w:hAnsi="Arial" w:cs="Arial"/>
        </w:rPr>
      </w:pPr>
    </w:p>
    <w:p w:rsidR="002A7658" w:rsidRPr="00BF39D9" w:rsidRDefault="002A7658" w:rsidP="0039529B">
      <w:pPr>
        <w:pStyle w:val="Prrafodelista1"/>
        <w:ind w:left="0"/>
        <w:jc w:val="left"/>
        <w:rPr>
          <w:rFonts w:ascii="Arial" w:hAnsi="Arial" w:cs="Arial"/>
        </w:rPr>
      </w:pPr>
      <w:r w:rsidRPr="00BF39D9">
        <w:rPr>
          <w:rFonts w:ascii="Arial" w:hAnsi="Arial" w:cs="Arial"/>
          <w:b/>
          <w:sz w:val="20"/>
          <w:szCs w:val="20"/>
        </w:rPr>
        <w:t>Evolució dels pressupostos de la Generalitat en educació, del 2008 al 2014</w:t>
      </w:r>
    </w:p>
    <w:tbl>
      <w:tblPr>
        <w:tblStyle w:val="Sombreadoclaro-nfasis11"/>
        <w:tblW w:w="5000" w:type="pct"/>
        <w:tblLook w:val="04A0" w:firstRow="1" w:lastRow="0" w:firstColumn="1" w:lastColumn="0" w:noHBand="0" w:noVBand="1"/>
      </w:tblPr>
      <w:tblGrid>
        <w:gridCol w:w="1508"/>
        <w:gridCol w:w="1737"/>
        <w:gridCol w:w="1877"/>
        <w:gridCol w:w="2006"/>
        <w:gridCol w:w="1592"/>
      </w:tblGrid>
      <w:tr w:rsidR="002A7658" w:rsidRPr="00BF39D9" w:rsidTr="0039529B">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65" w:type="pct"/>
            <w:noWrap/>
          </w:tcPr>
          <w:p w:rsidR="002A7658" w:rsidRPr="00BF39D9" w:rsidRDefault="002A7658" w:rsidP="002A7658">
            <w:pPr>
              <w:spacing w:after="0"/>
              <w:rPr>
                <w:color w:val="auto"/>
              </w:rPr>
            </w:pPr>
          </w:p>
        </w:tc>
        <w:tc>
          <w:tcPr>
            <w:tcW w:w="2072" w:type="pct"/>
            <w:gridSpan w:val="2"/>
            <w:vAlign w:val="center"/>
          </w:tcPr>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lang w:eastAsia="ca-ES"/>
              </w:rPr>
            </w:pPr>
            <w:r w:rsidRPr="00BF39D9">
              <w:rPr>
                <w:rFonts w:eastAsia="Times New Roman"/>
                <w:b w:val="0"/>
                <w:color w:val="auto"/>
                <w:lang w:eastAsia="ca-ES"/>
              </w:rPr>
              <w:t>Pressupost en Educació</w:t>
            </w:r>
          </w:p>
        </w:tc>
        <w:tc>
          <w:tcPr>
            <w:tcW w:w="2063" w:type="pct"/>
            <w:gridSpan w:val="2"/>
            <w:vAlign w:val="center"/>
          </w:tcPr>
          <w:p w:rsidR="002A7658" w:rsidRPr="00BF39D9" w:rsidRDefault="002A7658" w:rsidP="003952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lang w:eastAsia="ca-ES"/>
              </w:rPr>
            </w:pPr>
            <w:r w:rsidRPr="00BF39D9">
              <w:rPr>
                <w:rFonts w:eastAsia="Times New Roman"/>
                <w:b w:val="0"/>
                <w:color w:val="auto"/>
                <w:lang w:eastAsia="ca-ES"/>
              </w:rPr>
              <w:t>Alumnat no universitari</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865" w:type="pct"/>
            <w:noWrap/>
          </w:tcPr>
          <w:p w:rsidR="002A7658" w:rsidRPr="00BF39D9" w:rsidRDefault="002A7658" w:rsidP="002A7658">
            <w:pPr>
              <w:spacing w:after="0"/>
              <w:rPr>
                <w:color w:val="auto"/>
              </w:rPr>
            </w:pPr>
          </w:p>
        </w:tc>
        <w:tc>
          <w:tcPr>
            <w:tcW w:w="996" w:type="pct"/>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milions d'euros</w:t>
            </w:r>
          </w:p>
        </w:tc>
        <w:tc>
          <w:tcPr>
            <w:tcW w:w="1076" w:type="pct"/>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 Variació</w:t>
            </w:r>
          </w:p>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interanual</w:t>
            </w:r>
          </w:p>
        </w:tc>
        <w:tc>
          <w:tcPr>
            <w:tcW w:w="1150" w:type="pct"/>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Alumnes</w:t>
            </w:r>
          </w:p>
        </w:tc>
        <w:tc>
          <w:tcPr>
            <w:tcW w:w="913" w:type="pct"/>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 Variació</w:t>
            </w:r>
          </w:p>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interanual</w:t>
            </w:r>
          </w:p>
        </w:tc>
      </w:tr>
      <w:tr w:rsidR="002A7658"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2A7658" w:rsidRPr="00BF39D9" w:rsidRDefault="002A7658" w:rsidP="0039529B">
            <w:pPr>
              <w:spacing w:after="0"/>
              <w:rPr>
                <w:rFonts w:eastAsia="Times New Roman"/>
                <w:b w:val="0"/>
                <w:color w:val="auto"/>
                <w:lang w:eastAsia="ca-ES"/>
              </w:rPr>
            </w:pPr>
            <w:r w:rsidRPr="00BF39D9">
              <w:rPr>
                <w:rFonts w:eastAsia="Times New Roman"/>
                <w:b w:val="0"/>
                <w:color w:val="auto"/>
                <w:lang w:eastAsia="ca-ES"/>
              </w:rPr>
              <w:t>2008</w:t>
            </w:r>
          </w:p>
        </w:tc>
        <w:tc>
          <w:tcPr>
            <w:tcW w:w="996"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5.770,3</w:t>
            </w:r>
          </w:p>
        </w:tc>
        <w:tc>
          <w:tcPr>
            <w:tcW w:w="1076"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8,5%</w:t>
            </w:r>
          </w:p>
        </w:tc>
        <w:tc>
          <w:tcPr>
            <w:tcW w:w="1150"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1.161.532</w:t>
            </w:r>
          </w:p>
        </w:tc>
        <w:tc>
          <w:tcPr>
            <w:tcW w:w="913"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4,4%</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2A7658" w:rsidRPr="00BF39D9" w:rsidRDefault="002A7658" w:rsidP="0039529B">
            <w:pPr>
              <w:spacing w:after="0"/>
              <w:rPr>
                <w:rFonts w:eastAsia="Times New Roman"/>
                <w:b w:val="0"/>
                <w:color w:val="auto"/>
                <w:lang w:eastAsia="ca-ES"/>
              </w:rPr>
            </w:pPr>
            <w:r w:rsidRPr="00BF39D9">
              <w:rPr>
                <w:rFonts w:eastAsia="Times New Roman"/>
                <w:b w:val="0"/>
                <w:color w:val="auto"/>
                <w:lang w:eastAsia="ca-ES"/>
              </w:rPr>
              <w:t>2009</w:t>
            </w:r>
          </w:p>
        </w:tc>
        <w:tc>
          <w:tcPr>
            <w:tcW w:w="996"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6.028,3</w:t>
            </w:r>
          </w:p>
        </w:tc>
        <w:tc>
          <w:tcPr>
            <w:tcW w:w="1076"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4,5%</w:t>
            </w:r>
          </w:p>
        </w:tc>
        <w:tc>
          <w:tcPr>
            <w:tcW w:w="1150"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1.201.018</w:t>
            </w:r>
          </w:p>
        </w:tc>
        <w:tc>
          <w:tcPr>
            <w:tcW w:w="913"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3,4%</w:t>
            </w:r>
          </w:p>
        </w:tc>
      </w:tr>
      <w:tr w:rsidR="002A7658"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2A7658" w:rsidRPr="00BF39D9" w:rsidRDefault="002A7658" w:rsidP="0039529B">
            <w:pPr>
              <w:spacing w:after="0"/>
              <w:rPr>
                <w:rFonts w:eastAsia="Times New Roman"/>
                <w:b w:val="0"/>
                <w:color w:val="auto"/>
                <w:lang w:eastAsia="ca-ES"/>
              </w:rPr>
            </w:pPr>
            <w:r w:rsidRPr="00BF39D9">
              <w:rPr>
                <w:rFonts w:eastAsia="Times New Roman"/>
                <w:b w:val="0"/>
                <w:color w:val="auto"/>
                <w:lang w:eastAsia="ca-ES"/>
              </w:rPr>
              <w:t>2010</w:t>
            </w:r>
          </w:p>
        </w:tc>
        <w:tc>
          <w:tcPr>
            <w:tcW w:w="996"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6.308,9</w:t>
            </w:r>
          </w:p>
        </w:tc>
        <w:tc>
          <w:tcPr>
            <w:tcW w:w="1076"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4,7%</w:t>
            </w:r>
          </w:p>
        </w:tc>
        <w:tc>
          <w:tcPr>
            <w:tcW w:w="1150"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1.231.778</w:t>
            </w:r>
          </w:p>
        </w:tc>
        <w:tc>
          <w:tcPr>
            <w:tcW w:w="913"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2,6%</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2A7658" w:rsidRPr="00BF39D9" w:rsidRDefault="002A7658" w:rsidP="0039529B">
            <w:pPr>
              <w:spacing w:after="0"/>
              <w:rPr>
                <w:rFonts w:eastAsia="Times New Roman"/>
                <w:b w:val="0"/>
                <w:color w:val="auto"/>
                <w:lang w:eastAsia="ca-ES"/>
              </w:rPr>
            </w:pPr>
            <w:r w:rsidRPr="00BF39D9">
              <w:rPr>
                <w:rFonts w:eastAsia="Times New Roman"/>
                <w:b w:val="0"/>
                <w:color w:val="auto"/>
                <w:lang w:eastAsia="ca-ES"/>
              </w:rPr>
              <w:t>2011</w:t>
            </w:r>
          </w:p>
        </w:tc>
        <w:tc>
          <w:tcPr>
            <w:tcW w:w="996"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5.836,1</w:t>
            </w:r>
          </w:p>
        </w:tc>
        <w:tc>
          <w:tcPr>
            <w:tcW w:w="1076"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-7,5%</w:t>
            </w:r>
          </w:p>
        </w:tc>
        <w:tc>
          <w:tcPr>
            <w:tcW w:w="1150"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1.261.346</w:t>
            </w:r>
          </w:p>
        </w:tc>
        <w:tc>
          <w:tcPr>
            <w:tcW w:w="913" w:type="pct"/>
            <w:noWrap/>
            <w:vAlign w:val="center"/>
          </w:tcPr>
          <w:p w:rsidR="002A7658" w:rsidRPr="00BF39D9" w:rsidRDefault="002A7658" w:rsidP="0039529B">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2,4%</w:t>
            </w:r>
          </w:p>
        </w:tc>
      </w:tr>
      <w:tr w:rsidR="002A7658"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2A7658" w:rsidRPr="00BF39D9" w:rsidRDefault="002A7658" w:rsidP="0039529B">
            <w:pPr>
              <w:spacing w:after="0"/>
              <w:rPr>
                <w:rFonts w:eastAsia="Times New Roman"/>
                <w:b w:val="0"/>
                <w:color w:val="auto"/>
                <w:lang w:eastAsia="ca-ES"/>
              </w:rPr>
            </w:pPr>
            <w:r w:rsidRPr="00BF39D9">
              <w:rPr>
                <w:rFonts w:eastAsia="Times New Roman"/>
                <w:b w:val="0"/>
                <w:color w:val="auto"/>
                <w:lang w:eastAsia="ca-ES"/>
              </w:rPr>
              <w:t>2012</w:t>
            </w:r>
          </w:p>
        </w:tc>
        <w:tc>
          <w:tcPr>
            <w:tcW w:w="996"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5.470,0</w:t>
            </w:r>
          </w:p>
        </w:tc>
        <w:tc>
          <w:tcPr>
            <w:tcW w:w="1076"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-6,3%</w:t>
            </w:r>
          </w:p>
        </w:tc>
        <w:tc>
          <w:tcPr>
            <w:tcW w:w="1150"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1.294.654</w:t>
            </w:r>
          </w:p>
        </w:tc>
        <w:tc>
          <w:tcPr>
            <w:tcW w:w="913" w:type="pct"/>
            <w:noWrap/>
            <w:vAlign w:val="center"/>
          </w:tcPr>
          <w:p w:rsidR="002A7658" w:rsidRPr="00BF39D9" w:rsidRDefault="002A7658" w:rsidP="0039529B">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2,6%</w:t>
            </w:r>
          </w:p>
        </w:tc>
      </w:tr>
      <w:tr w:rsidR="002A7658"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2A7658" w:rsidRPr="00BF39D9" w:rsidRDefault="002A7658" w:rsidP="0039529B">
            <w:pPr>
              <w:spacing w:after="0" w:line="240" w:lineRule="auto"/>
              <w:rPr>
                <w:rFonts w:eastAsia="Times New Roman"/>
                <w:b w:val="0"/>
                <w:color w:val="auto"/>
                <w:lang w:eastAsia="ca-ES"/>
              </w:rPr>
            </w:pPr>
            <w:r w:rsidRPr="00BF39D9">
              <w:rPr>
                <w:rFonts w:eastAsia="Times New Roman"/>
                <w:b w:val="0"/>
                <w:color w:val="auto"/>
                <w:lang w:eastAsia="ca-ES"/>
              </w:rPr>
              <w:t>2014</w:t>
            </w:r>
          </w:p>
        </w:tc>
        <w:tc>
          <w:tcPr>
            <w:tcW w:w="996" w:type="pct"/>
            <w:noWrap/>
            <w:vAlign w:val="center"/>
          </w:tcPr>
          <w:p w:rsidR="002A7658" w:rsidRPr="00BF39D9" w:rsidRDefault="002A7658"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5.234,8(1)</w:t>
            </w:r>
          </w:p>
        </w:tc>
        <w:tc>
          <w:tcPr>
            <w:tcW w:w="1076" w:type="pct"/>
            <w:noWrap/>
            <w:vAlign w:val="center"/>
          </w:tcPr>
          <w:p w:rsidR="002A7658" w:rsidRPr="00BF39D9" w:rsidRDefault="002A7658"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-4,3%</w:t>
            </w:r>
          </w:p>
        </w:tc>
        <w:tc>
          <w:tcPr>
            <w:tcW w:w="1150" w:type="pct"/>
            <w:noWrap/>
            <w:vAlign w:val="center"/>
          </w:tcPr>
          <w:p w:rsidR="002A7658" w:rsidRPr="00BF39D9" w:rsidRDefault="002A7658"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1.311.783(2)</w:t>
            </w:r>
          </w:p>
        </w:tc>
        <w:tc>
          <w:tcPr>
            <w:tcW w:w="913" w:type="pct"/>
            <w:noWrap/>
            <w:vAlign w:val="center"/>
          </w:tcPr>
          <w:p w:rsidR="002A7658" w:rsidRPr="00BF39D9" w:rsidRDefault="002A7658"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1,3%</w:t>
            </w:r>
          </w:p>
        </w:tc>
      </w:tr>
    </w:tbl>
    <w:p w:rsidR="002A7658" w:rsidRPr="000D4044" w:rsidRDefault="002A7658" w:rsidP="002A7658">
      <w:pPr>
        <w:pStyle w:val="Prrafodelista1"/>
        <w:ind w:left="0"/>
        <w:rPr>
          <w:rFonts w:ascii="Arial" w:hAnsi="Arial" w:cs="Arial"/>
          <w:sz w:val="16"/>
          <w:szCs w:val="16"/>
        </w:rPr>
      </w:pPr>
      <w:r w:rsidRPr="000D4044">
        <w:rPr>
          <w:rFonts w:ascii="Arial" w:hAnsi="Arial" w:cs="Arial"/>
          <w:sz w:val="16"/>
          <w:szCs w:val="16"/>
        </w:rPr>
        <w:t>(1) No hi ha dades equivalents pel 2013 perquè el pressupost fou el del 2012 prorrogat</w:t>
      </w:r>
      <w:r w:rsidR="00C47918">
        <w:rPr>
          <w:rFonts w:ascii="Arial" w:hAnsi="Arial" w:cs="Arial"/>
          <w:sz w:val="16"/>
          <w:szCs w:val="16"/>
        </w:rPr>
        <w:t>.</w:t>
      </w:r>
    </w:p>
    <w:p w:rsidR="002A7658" w:rsidRPr="000D4044" w:rsidRDefault="002A7658" w:rsidP="002A7658">
      <w:pPr>
        <w:pStyle w:val="Prrafodelista1"/>
        <w:ind w:left="0"/>
        <w:rPr>
          <w:rFonts w:ascii="Arial" w:hAnsi="Arial" w:cs="Arial"/>
          <w:sz w:val="16"/>
          <w:szCs w:val="16"/>
        </w:rPr>
      </w:pPr>
      <w:r w:rsidRPr="000D4044">
        <w:rPr>
          <w:rFonts w:ascii="Arial" w:hAnsi="Arial" w:cs="Arial"/>
          <w:sz w:val="16"/>
          <w:szCs w:val="16"/>
        </w:rPr>
        <w:t>(2) Són dades del curs 2013-2014</w:t>
      </w:r>
      <w:r w:rsidR="00C47918">
        <w:rPr>
          <w:rFonts w:ascii="Arial" w:hAnsi="Arial" w:cs="Arial"/>
          <w:sz w:val="16"/>
          <w:szCs w:val="16"/>
        </w:rPr>
        <w:t>.</w:t>
      </w:r>
    </w:p>
    <w:p w:rsidR="009F612B" w:rsidRPr="00C47918" w:rsidRDefault="002A7658" w:rsidP="00C47918">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Departament d’Economia i Coneixement i Departament d’Ensenyament.</w:t>
      </w:r>
    </w:p>
    <w:p w:rsidR="00BF39D9" w:rsidRDefault="00BF39D9" w:rsidP="0039529B">
      <w:pPr>
        <w:spacing w:line="360" w:lineRule="auto"/>
        <w:jc w:val="both"/>
        <w:rPr>
          <w:rFonts w:ascii="Arial" w:hAnsi="Arial" w:cs="Arial"/>
        </w:rPr>
      </w:pPr>
    </w:p>
    <w:p w:rsidR="00E12744" w:rsidRDefault="00820FBC" w:rsidP="00220E83">
      <w:pPr>
        <w:jc w:val="both"/>
        <w:rPr>
          <w:rFonts w:ascii="Arial" w:hAnsi="Arial" w:cs="Arial"/>
          <w:b/>
          <w:sz w:val="28"/>
          <w:szCs w:val="28"/>
        </w:rPr>
      </w:pPr>
      <w:r>
        <w:rPr>
          <w:rFonts w:ascii="Arial" w:hAnsi="Arial" w:cs="Arial"/>
          <w:b/>
          <w:sz w:val="28"/>
          <w:szCs w:val="28"/>
        </w:rPr>
        <w:t>6</w:t>
      </w:r>
      <w:r w:rsidR="005E1903" w:rsidRPr="00E12744">
        <w:rPr>
          <w:rFonts w:ascii="Arial" w:hAnsi="Arial" w:cs="Arial"/>
          <w:b/>
          <w:sz w:val="28"/>
          <w:szCs w:val="28"/>
        </w:rPr>
        <w:t xml:space="preserve">. Distribució </w:t>
      </w:r>
      <w:r w:rsidR="00FC6F02">
        <w:rPr>
          <w:rFonts w:ascii="Arial" w:hAnsi="Arial" w:cs="Arial"/>
          <w:b/>
          <w:sz w:val="28"/>
          <w:szCs w:val="28"/>
        </w:rPr>
        <w:t xml:space="preserve">de la </w:t>
      </w:r>
      <w:r w:rsidR="005E1903" w:rsidRPr="00E12744">
        <w:rPr>
          <w:rFonts w:ascii="Arial" w:hAnsi="Arial" w:cs="Arial"/>
          <w:b/>
          <w:sz w:val="28"/>
          <w:szCs w:val="28"/>
        </w:rPr>
        <w:t>renda</w:t>
      </w:r>
      <w:r w:rsidR="00E54CBD">
        <w:rPr>
          <w:rFonts w:ascii="Arial" w:hAnsi="Arial" w:cs="Arial"/>
          <w:b/>
          <w:sz w:val="28"/>
          <w:szCs w:val="28"/>
        </w:rPr>
        <w:t>. Pobresa</w:t>
      </w:r>
    </w:p>
    <w:p w:rsidR="005E1903" w:rsidRPr="00A83FB2" w:rsidRDefault="00820FBC" w:rsidP="00220E83">
      <w:pPr>
        <w:jc w:val="both"/>
        <w:rPr>
          <w:rFonts w:ascii="Arial" w:hAnsi="Arial" w:cs="Arial"/>
          <w:b/>
          <w:sz w:val="24"/>
          <w:szCs w:val="24"/>
        </w:rPr>
      </w:pPr>
      <w:r>
        <w:rPr>
          <w:rFonts w:ascii="Arial" w:hAnsi="Arial" w:cs="Arial"/>
          <w:b/>
          <w:sz w:val="24"/>
          <w:szCs w:val="24"/>
        </w:rPr>
        <w:t>6</w:t>
      </w:r>
      <w:r w:rsidR="00440A21" w:rsidRPr="00A83FB2">
        <w:rPr>
          <w:rFonts w:ascii="Arial" w:hAnsi="Arial" w:cs="Arial"/>
          <w:b/>
          <w:sz w:val="24"/>
          <w:szCs w:val="24"/>
        </w:rPr>
        <w:t>.1</w:t>
      </w:r>
      <w:r w:rsidR="00C129EF">
        <w:rPr>
          <w:rFonts w:ascii="Arial" w:hAnsi="Arial" w:cs="Arial"/>
          <w:b/>
          <w:sz w:val="24"/>
          <w:szCs w:val="24"/>
        </w:rPr>
        <w:t>.</w:t>
      </w:r>
      <w:r w:rsidR="00440A21" w:rsidRPr="00A83FB2">
        <w:rPr>
          <w:rFonts w:ascii="Arial" w:hAnsi="Arial" w:cs="Arial"/>
          <w:b/>
          <w:sz w:val="24"/>
          <w:szCs w:val="24"/>
        </w:rPr>
        <w:t xml:space="preserve"> Evolució </w:t>
      </w:r>
      <w:r w:rsidR="00276331">
        <w:rPr>
          <w:rFonts w:ascii="Arial" w:hAnsi="Arial" w:cs="Arial"/>
          <w:b/>
          <w:sz w:val="24"/>
          <w:szCs w:val="24"/>
        </w:rPr>
        <w:t xml:space="preserve">de la </w:t>
      </w:r>
      <w:r w:rsidR="00440A21" w:rsidRPr="00A83FB2">
        <w:rPr>
          <w:rFonts w:ascii="Arial" w:hAnsi="Arial" w:cs="Arial"/>
          <w:b/>
          <w:sz w:val="24"/>
          <w:szCs w:val="24"/>
        </w:rPr>
        <w:t>renda de les llars</w:t>
      </w:r>
    </w:p>
    <w:p w:rsidR="005D7847" w:rsidRDefault="00FD7278" w:rsidP="00415B3C">
      <w:pPr>
        <w:jc w:val="both"/>
        <w:rPr>
          <w:rFonts w:ascii="Arial" w:hAnsi="Arial" w:cs="Arial"/>
        </w:rPr>
      </w:pPr>
      <w:r w:rsidRPr="005F3B61">
        <w:rPr>
          <w:rFonts w:ascii="Arial" w:hAnsi="Arial" w:cs="Arial"/>
        </w:rPr>
        <w:t>L</w:t>
      </w:r>
      <w:r w:rsidR="00576D36" w:rsidRPr="005F3B61">
        <w:rPr>
          <w:rFonts w:ascii="Arial" w:hAnsi="Arial" w:cs="Arial"/>
        </w:rPr>
        <w:t>’</w:t>
      </w:r>
      <w:r w:rsidRPr="005F3B61">
        <w:rPr>
          <w:rFonts w:ascii="Arial" w:hAnsi="Arial" w:cs="Arial"/>
        </w:rPr>
        <w:t xml:space="preserve">augment de les </w:t>
      </w:r>
      <w:r w:rsidR="00576D36" w:rsidRPr="005F3B61">
        <w:rPr>
          <w:rFonts w:ascii="Arial" w:hAnsi="Arial" w:cs="Arial"/>
        </w:rPr>
        <w:t xml:space="preserve">desigualtats </w:t>
      </w:r>
      <w:r w:rsidRPr="005F3B61">
        <w:rPr>
          <w:rFonts w:ascii="Arial" w:hAnsi="Arial" w:cs="Arial"/>
        </w:rPr>
        <w:t xml:space="preserve">des de </w:t>
      </w:r>
      <w:r w:rsidR="00E54CBD" w:rsidRPr="005F3B61">
        <w:rPr>
          <w:rFonts w:ascii="Arial" w:hAnsi="Arial" w:cs="Arial"/>
        </w:rPr>
        <w:t>l’inic</w:t>
      </w:r>
      <w:r w:rsidR="00B52CA6">
        <w:rPr>
          <w:rFonts w:ascii="Arial" w:hAnsi="Arial" w:cs="Arial"/>
        </w:rPr>
        <w:t>i</w:t>
      </w:r>
      <w:r w:rsidRPr="005F3B61">
        <w:rPr>
          <w:rFonts w:ascii="Arial" w:hAnsi="Arial" w:cs="Arial"/>
        </w:rPr>
        <w:t xml:space="preserve"> de la crisi </w:t>
      </w:r>
      <w:r w:rsidR="00014E78">
        <w:rPr>
          <w:rFonts w:ascii="Arial" w:hAnsi="Arial" w:cs="Arial"/>
        </w:rPr>
        <w:t>cal situar-lo</w:t>
      </w:r>
      <w:r w:rsidR="006A715E">
        <w:rPr>
          <w:rFonts w:ascii="Arial" w:hAnsi="Arial" w:cs="Arial"/>
        </w:rPr>
        <w:t xml:space="preserve"> en un context en què</w:t>
      </w:r>
      <w:r w:rsidR="00576D36" w:rsidRPr="005F3B61">
        <w:rPr>
          <w:rFonts w:ascii="Arial" w:hAnsi="Arial" w:cs="Arial"/>
        </w:rPr>
        <w:t xml:space="preserve"> el nivell de benestar </w:t>
      </w:r>
      <w:r w:rsidR="005F3B61">
        <w:rPr>
          <w:rFonts w:ascii="Arial" w:hAnsi="Arial" w:cs="Arial"/>
        </w:rPr>
        <w:t xml:space="preserve">mitjà </w:t>
      </w:r>
      <w:r w:rsidR="00576D36" w:rsidRPr="005F3B61">
        <w:rPr>
          <w:rFonts w:ascii="Arial" w:hAnsi="Arial" w:cs="Arial"/>
        </w:rPr>
        <w:t>de la població</w:t>
      </w:r>
      <w:r w:rsidR="00220E83">
        <w:rPr>
          <w:rFonts w:ascii="Arial" w:hAnsi="Arial" w:cs="Arial"/>
        </w:rPr>
        <w:t xml:space="preserve"> catalana</w:t>
      </w:r>
      <w:r w:rsidR="00C34C8F">
        <w:rPr>
          <w:rFonts w:ascii="Arial" w:hAnsi="Arial" w:cs="Arial"/>
        </w:rPr>
        <w:t xml:space="preserve"> </w:t>
      </w:r>
      <w:r w:rsidR="005F3B61">
        <w:rPr>
          <w:rFonts w:ascii="Arial" w:hAnsi="Arial" w:cs="Arial"/>
        </w:rPr>
        <w:t>ha e</w:t>
      </w:r>
      <w:r w:rsidR="003A4101">
        <w:rPr>
          <w:rFonts w:ascii="Arial" w:hAnsi="Arial" w:cs="Arial"/>
        </w:rPr>
        <w:t>x</w:t>
      </w:r>
      <w:r w:rsidR="005F3B61">
        <w:rPr>
          <w:rFonts w:ascii="Arial" w:hAnsi="Arial" w:cs="Arial"/>
        </w:rPr>
        <w:t>p</w:t>
      </w:r>
      <w:r w:rsidR="00220E83">
        <w:rPr>
          <w:rFonts w:ascii="Arial" w:hAnsi="Arial" w:cs="Arial"/>
        </w:rPr>
        <w:t>erimentat una important caiguda</w:t>
      </w:r>
      <w:r w:rsidR="0003520C">
        <w:rPr>
          <w:rFonts w:ascii="Arial" w:hAnsi="Arial" w:cs="Arial"/>
        </w:rPr>
        <w:t>,</w:t>
      </w:r>
      <w:r w:rsidR="00220E83">
        <w:rPr>
          <w:rFonts w:ascii="Arial" w:hAnsi="Arial" w:cs="Arial"/>
        </w:rPr>
        <w:t xml:space="preserve"> en u</w:t>
      </w:r>
      <w:r w:rsidR="008A5309">
        <w:rPr>
          <w:rFonts w:ascii="Arial" w:hAnsi="Arial" w:cs="Arial"/>
        </w:rPr>
        <w:t>n</w:t>
      </w:r>
      <w:r w:rsidR="00220E83">
        <w:rPr>
          <w:rFonts w:ascii="Arial" w:hAnsi="Arial" w:cs="Arial"/>
        </w:rPr>
        <w:t xml:space="preserve"> procés de p</w:t>
      </w:r>
      <w:r w:rsidR="00B9704B">
        <w:rPr>
          <w:rFonts w:ascii="Arial" w:hAnsi="Arial" w:cs="Arial"/>
        </w:rPr>
        <w:t>è</w:t>
      </w:r>
      <w:r w:rsidR="00220E83">
        <w:rPr>
          <w:rFonts w:ascii="Arial" w:hAnsi="Arial" w:cs="Arial"/>
        </w:rPr>
        <w:t xml:space="preserve">rdua de benestar </w:t>
      </w:r>
      <w:r w:rsidR="00392B22">
        <w:rPr>
          <w:rFonts w:ascii="Arial" w:hAnsi="Arial" w:cs="Arial"/>
        </w:rPr>
        <w:t xml:space="preserve">que és </w:t>
      </w:r>
      <w:r w:rsidR="008E2A89">
        <w:rPr>
          <w:rFonts w:ascii="Arial" w:hAnsi="Arial" w:cs="Arial"/>
        </w:rPr>
        <w:t>paral·lel a</w:t>
      </w:r>
      <w:r w:rsidR="008A5309">
        <w:rPr>
          <w:rFonts w:ascii="Arial" w:hAnsi="Arial" w:cs="Arial"/>
        </w:rPr>
        <w:t xml:space="preserve">l del conjunt d’Espanya, i </w:t>
      </w:r>
      <w:r w:rsidR="00E81E88">
        <w:rPr>
          <w:rFonts w:ascii="Arial" w:hAnsi="Arial" w:cs="Arial"/>
        </w:rPr>
        <w:t xml:space="preserve">clarament més intens </w:t>
      </w:r>
      <w:r w:rsidR="008A5309">
        <w:rPr>
          <w:rFonts w:ascii="Arial" w:hAnsi="Arial" w:cs="Arial"/>
        </w:rPr>
        <w:t xml:space="preserve">que </w:t>
      </w:r>
      <w:r w:rsidR="00E81E88">
        <w:rPr>
          <w:rFonts w:ascii="Arial" w:hAnsi="Arial" w:cs="Arial"/>
        </w:rPr>
        <w:t>el de la majoria de països de la UE-2</w:t>
      </w:r>
      <w:r w:rsidR="003F3182">
        <w:rPr>
          <w:rFonts w:ascii="Arial" w:hAnsi="Arial" w:cs="Arial"/>
        </w:rPr>
        <w:t>8</w:t>
      </w:r>
      <w:r w:rsidR="008A5309">
        <w:rPr>
          <w:rFonts w:ascii="Arial" w:hAnsi="Arial" w:cs="Arial"/>
        </w:rPr>
        <w:t>.</w:t>
      </w:r>
      <w:r w:rsidR="00EF366E">
        <w:rPr>
          <w:rFonts w:ascii="Arial" w:hAnsi="Arial" w:cs="Arial"/>
        </w:rPr>
        <w:t xml:space="preserve"> L’evolució dels indicadors macroeconòmics del nivell de benestar per càpita calculats en diferents moments del procés de distribució de la renda així ho posen de manifest.</w:t>
      </w:r>
      <w:r w:rsidR="00C34C8F">
        <w:rPr>
          <w:rFonts w:ascii="Arial" w:hAnsi="Arial" w:cs="Arial"/>
        </w:rPr>
        <w:t xml:space="preserve"> </w:t>
      </w:r>
      <w:r w:rsidR="00415B3C">
        <w:rPr>
          <w:rFonts w:ascii="Arial" w:hAnsi="Arial" w:cs="Arial"/>
        </w:rPr>
        <w:t>Tant</w:t>
      </w:r>
      <w:r w:rsidR="00C34C8F">
        <w:rPr>
          <w:rFonts w:ascii="Arial" w:hAnsi="Arial" w:cs="Arial"/>
        </w:rPr>
        <w:t xml:space="preserve"> </w:t>
      </w:r>
      <w:r w:rsidR="00415B3C">
        <w:rPr>
          <w:rFonts w:ascii="Arial" w:hAnsi="Arial" w:cs="Arial"/>
        </w:rPr>
        <w:t>la capacitat adquisitiva</w:t>
      </w:r>
      <w:r w:rsidR="00F47BF3">
        <w:rPr>
          <w:rFonts w:ascii="Arial" w:hAnsi="Arial" w:cs="Arial"/>
        </w:rPr>
        <w:t xml:space="preserve"> del PIB per càpita,</w:t>
      </w:r>
      <w:r w:rsidR="00C34C8F">
        <w:rPr>
          <w:rFonts w:ascii="Arial" w:hAnsi="Arial" w:cs="Arial"/>
        </w:rPr>
        <w:t xml:space="preserve"> </w:t>
      </w:r>
      <w:r w:rsidR="00710B66">
        <w:rPr>
          <w:rFonts w:ascii="Arial" w:hAnsi="Arial" w:cs="Arial"/>
        </w:rPr>
        <w:t>com del Saldo de rendes primàries per càpita</w:t>
      </w:r>
      <w:r w:rsidR="003F071D">
        <w:rPr>
          <w:rFonts w:ascii="Arial" w:hAnsi="Arial" w:cs="Arial"/>
        </w:rPr>
        <w:t>,</w:t>
      </w:r>
      <w:r w:rsidR="00F47BF3">
        <w:rPr>
          <w:rFonts w:ascii="Arial" w:hAnsi="Arial" w:cs="Arial"/>
        </w:rPr>
        <w:t xml:space="preserve"> com </w:t>
      </w:r>
      <w:r w:rsidR="00415B3C">
        <w:rPr>
          <w:rFonts w:ascii="Arial" w:hAnsi="Arial" w:cs="Arial"/>
        </w:rPr>
        <w:t>de la Renda Familiar Bruta Disponible per càpita</w:t>
      </w:r>
      <w:r w:rsidR="00F47BF3">
        <w:rPr>
          <w:rFonts w:ascii="Arial" w:hAnsi="Arial" w:cs="Arial"/>
        </w:rPr>
        <w:t xml:space="preserve"> (RFBD per càpita)</w:t>
      </w:r>
      <w:r w:rsidR="00415B3C">
        <w:rPr>
          <w:rFonts w:ascii="Arial" w:hAnsi="Arial" w:cs="Arial"/>
        </w:rPr>
        <w:t>,</w:t>
      </w:r>
      <w:r w:rsidR="00F47BF3">
        <w:rPr>
          <w:rFonts w:ascii="Arial" w:hAnsi="Arial" w:cs="Arial"/>
        </w:rPr>
        <w:t xml:space="preserve"> com</w:t>
      </w:r>
      <w:r w:rsidR="004A0898">
        <w:rPr>
          <w:rFonts w:ascii="Arial" w:hAnsi="Arial" w:cs="Arial"/>
        </w:rPr>
        <w:t xml:space="preserve"> de</w:t>
      </w:r>
      <w:r w:rsidR="00F47BF3">
        <w:rPr>
          <w:rFonts w:ascii="Arial" w:hAnsi="Arial" w:cs="Arial"/>
        </w:rPr>
        <w:t xml:space="preserve"> la RFBD ajustada per càpita </w:t>
      </w:r>
      <w:r w:rsidR="00415B3C">
        <w:rPr>
          <w:rFonts w:ascii="Arial" w:hAnsi="Arial" w:cs="Arial"/>
        </w:rPr>
        <w:t xml:space="preserve">cauen des de </w:t>
      </w:r>
      <w:r w:rsidR="00E54CBD">
        <w:rPr>
          <w:rFonts w:ascii="Arial" w:hAnsi="Arial" w:cs="Arial"/>
        </w:rPr>
        <w:t>l’inici</w:t>
      </w:r>
      <w:r w:rsidR="00C34C8F">
        <w:rPr>
          <w:rFonts w:ascii="Arial" w:hAnsi="Arial" w:cs="Arial"/>
        </w:rPr>
        <w:t xml:space="preserve"> </w:t>
      </w:r>
      <w:r w:rsidR="006513C1">
        <w:rPr>
          <w:rFonts w:ascii="Arial" w:hAnsi="Arial" w:cs="Arial"/>
        </w:rPr>
        <w:t>de</w:t>
      </w:r>
      <w:r w:rsidR="00C34C8F">
        <w:rPr>
          <w:rFonts w:ascii="Arial" w:hAnsi="Arial" w:cs="Arial"/>
        </w:rPr>
        <w:t xml:space="preserve"> </w:t>
      </w:r>
      <w:r w:rsidR="00B52CA6">
        <w:rPr>
          <w:rFonts w:ascii="Arial" w:hAnsi="Arial" w:cs="Arial"/>
        </w:rPr>
        <w:t xml:space="preserve">la </w:t>
      </w:r>
      <w:r w:rsidR="00D83E2A">
        <w:rPr>
          <w:rFonts w:ascii="Arial" w:hAnsi="Arial" w:cs="Arial"/>
        </w:rPr>
        <w:t>crisi</w:t>
      </w:r>
      <w:r w:rsidR="00415B3C">
        <w:rPr>
          <w:rFonts w:ascii="Arial" w:hAnsi="Arial" w:cs="Arial"/>
        </w:rPr>
        <w:t xml:space="preserve"> amb més intensitat a Catalunya </w:t>
      </w:r>
      <w:r w:rsidR="001D2DB2">
        <w:rPr>
          <w:rFonts w:ascii="Arial" w:hAnsi="Arial" w:cs="Arial"/>
        </w:rPr>
        <w:t>i e</w:t>
      </w:r>
      <w:r w:rsidR="00415B3C">
        <w:rPr>
          <w:rFonts w:ascii="Arial" w:hAnsi="Arial" w:cs="Arial"/>
        </w:rPr>
        <w:t>n el conjunt d’Espanya</w:t>
      </w:r>
      <w:r w:rsidR="006513C1">
        <w:rPr>
          <w:rFonts w:ascii="Arial" w:hAnsi="Arial" w:cs="Arial"/>
        </w:rPr>
        <w:t xml:space="preserve"> que </w:t>
      </w:r>
      <w:r w:rsidR="001D2DB2">
        <w:rPr>
          <w:rFonts w:ascii="Arial" w:hAnsi="Arial" w:cs="Arial"/>
        </w:rPr>
        <w:t xml:space="preserve">en </w:t>
      </w:r>
      <w:r w:rsidR="006513C1">
        <w:rPr>
          <w:rFonts w:ascii="Arial" w:hAnsi="Arial" w:cs="Arial"/>
        </w:rPr>
        <w:t>la mitjana del</w:t>
      </w:r>
      <w:r w:rsidR="00694F3B">
        <w:rPr>
          <w:rFonts w:ascii="Arial" w:hAnsi="Arial" w:cs="Arial"/>
        </w:rPr>
        <w:t>s</w:t>
      </w:r>
      <w:r w:rsidR="006513C1">
        <w:rPr>
          <w:rFonts w:ascii="Arial" w:hAnsi="Arial" w:cs="Arial"/>
        </w:rPr>
        <w:t xml:space="preserve"> països de la UE-2</w:t>
      </w:r>
      <w:r w:rsidR="003F3182">
        <w:rPr>
          <w:rFonts w:ascii="Arial" w:hAnsi="Arial" w:cs="Arial"/>
        </w:rPr>
        <w:t>8</w:t>
      </w:r>
      <w:r w:rsidR="00415B3C">
        <w:rPr>
          <w:rFonts w:ascii="Arial" w:hAnsi="Arial" w:cs="Arial"/>
        </w:rPr>
        <w:t>.</w:t>
      </w:r>
      <w:r w:rsidR="005D7847">
        <w:rPr>
          <w:rStyle w:val="Refdenotaalpie"/>
          <w:rFonts w:ascii="Arial" w:hAnsi="Arial" w:cs="Arial"/>
        </w:rPr>
        <w:footnoteReference w:id="6"/>
      </w:r>
    </w:p>
    <w:p w:rsidR="00415B3C" w:rsidRDefault="00BB3928" w:rsidP="00415B3C">
      <w:pPr>
        <w:jc w:val="both"/>
        <w:rPr>
          <w:rFonts w:ascii="Arial" w:hAnsi="Arial" w:cs="Arial"/>
        </w:rPr>
      </w:pPr>
      <w:r>
        <w:rPr>
          <w:rFonts w:ascii="Arial" w:hAnsi="Arial" w:cs="Arial"/>
        </w:rPr>
        <w:t>Així, mentre que la capa</w:t>
      </w:r>
      <w:r w:rsidR="00415B3C">
        <w:rPr>
          <w:rFonts w:ascii="Arial" w:hAnsi="Arial" w:cs="Arial"/>
        </w:rPr>
        <w:t>citat adquisitiva de</w:t>
      </w:r>
      <w:r>
        <w:rPr>
          <w:rFonts w:ascii="Arial" w:hAnsi="Arial" w:cs="Arial"/>
        </w:rPr>
        <w:t xml:space="preserve">l PIB per càpita </w:t>
      </w:r>
      <w:r w:rsidR="0029760B">
        <w:rPr>
          <w:rFonts w:ascii="Arial" w:hAnsi="Arial" w:cs="Arial"/>
        </w:rPr>
        <w:t xml:space="preserve">a Catalunya </w:t>
      </w:r>
      <w:r w:rsidR="00415B3C">
        <w:rPr>
          <w:rFonts w:ascii="Arial" w:hAnsi="Arial" w:cs="Arial"/>
        </w:rPr>
        <w:t xml:space="preserve">s’ha erosionat </w:t>
      </w:r>
      <w:r>
        <w:rPr>
          <w:rFonts w:ascii="Arial" w:hAnsi="Arial" w:cs="Arial"/>
        </w:rPr>
        <w:t>el</w:t>
      </w:r>
      <w:r w:rsidR="00636D8B">
        <w:rPr>
          <w:rFonts w:ascii="Arial" w:hAnsi="Arial" w:cs="Arial"/>
        </w:rPr>
        <w:t xml:space="preserve"> </w:t>
      </w:r>
      <w:r w:rsidR="00C34C8F">
        <w:rPr>
          <w:rFonts w:ascii="Arial" w:hAnsi="Arial" w:cs="Arial"/>
        </w:rPr>
        <w:t>-</w:t>
      </w:r>
      <w:r w:rsidR="00694F3B">
        <w:rPr>
          <w:rFonts w:ascii="Arial" w:hAnsi="Arial" w:cs="Arial"/>
        </w:rPr>
        <w:t>1</w:t>
      </w:r>
      <w:r w:rsidR="005D7847">
        <w:rPr>
          <w:rFonts w:ascii="Arial" w:hAnsi="Arial" w:cs="Arial"/>
        </w:rPr>
        <w:t>8</w:t>
      </w:r>
      <w:r>
        <w:rPr>
          <w:rFonts w:ascii="Arial" w:hAnsi="Arial" w:cs="Arial"/>
        </w:rPr>
        <w:t>,</w:t>
      </w:r>
      <w:r w:rsidR="005D7847">
        <w:rPr>
          <w:rFonts w:ascii="Arial" w:hAnsi="Arial" w:cs="Arial"/>
        </w:rPr>
        <w:t>2</w:t>
      </w:r>
      <w:r w:rsidR="00415B3C">
        <w:rPr>
          <w:rFonts w:ascii="Arial" w:hAnsi="Arial" w:cs="Arial"/>
        </w:rPr>
        <w:t>% entre el 200</w:t>
      </w:r>
      <w:r>
        <w:rPr>
          <w:rFonts w:ascii="Arial" w:hAnsi="Arial" w:cs="Arial"/>
        </w:rPr>
        <w:t>7</w:t>
      </w:r>
      <w:r w:rsidR="00415B3C">
        <w:rPr>
          <w:rFonts w:ascii="Arial" w:hAnsi="Arial" w:cs="Arial"/>
        </w:rPr>
        <w:t xml:space="preserve"> i el 201</w:t>
      </w:r>
      <w:r w:rsidR="003F3182">
        <w:rPr>
          <w:rFonts w:ascii="Arial" w:hAnsi="Arial" w:cs="Arial"/>
        </w:rPr>
        <w:t>4</w:t>
      </w:r>
      <w:r w:rsidR="00415B3C">
        <w:rPr>
          <w:rFonts w:ascii="Arial" w:hAnsi="Arial" w:cs="Arial"/>
        </w:rPr>
        <w:t>,</w:t>
      </w:r>
      <w:r w:rsidR="003F071D">
        <w:rPr>
          <w:rFonts w:ascii="Arial" w:hAnsi="Arial" w:cs="Arial"/>
        </w:rPr>
        <w:t xml:space="preserve"> a Espanya ho ha fet un </w:t>
      </w:r>
      <w:r w:rsidR="005D7847">
        <w:rPr>
          <w:rFonts w:ascii="Arial" w:hAnsi="Arial" w:cs="Arial"/>
        </w:rPr>
        <w:t>-16,3%, i</w:t>
      </w:r>
      <w:r w:rsidR="00415B3C">
        <w:rPr>
          <w:rFonts w:ascii="Arial" w:hAnsi="Arial" w:cs="Arial"/>
        </w:rPr>
        <w:t xml:space="preserve"> a </w:t>
      </w:r>
      <w:r w:rsidR="003F3182">
        <w:rPr>
          <w:rFonts w:ascii="Arial" w:hAnsi="Arial" w:cs="Arial"/>
        </w:rPr>
        <w:t>la UE-28</w:t>
      </w:r>
      <w:r w:rsidR="00415B3C">
        <w:rPr>
          <w:rFonts w:ascii="Arial" w:hAnsi="Arial" w:cs="Arial"/>
        </w:rPr>
        <w:t xml:space="preserve"> el retrocés ha estat del -</w:t>
      </w:r>
      <w:r w:rsidR="003F3182">
        <w:rPr>
          <w:rFonts w:ascii="Arial" w:hAnsi="Arial" w:cs="Arial"/>
        </w:rPr>
        <w:t>8</w:t>
      </w:r>
      <w:r w:rsidR="004F310F">
        <w:rPr>
          <w:rFonts w:ascii="Arial" w:hAnsi="Arial" w:cs="Arial"/>
        </w:rPr>
        <w:t>,</w:t>
      </w:r>
      <w:r w:rsidR="005D7847">
        <w:rPr>
          <w:rFonts w:ascii="Arial" w:hAnsi="Arial" w:cs="Arial"/>
        </w:rPr>
        <w:t>1</w:t>
      </w:r>
      <w:r w:rsidR="00415B3C">
        <w:rPr>
          <w:rFonts w:ascii="Arial" w:hAnsi="Arial" w:cs="Arial"/>
        </w:rPr>
        <w:t>%.</w:t>
      </w:r>
    </w:p>
    <w:p w:rsidR="00F47BF3" w:rsidRDefault="00951D96" w:rsidP="00415B3C">
      <w:pPr>
        <w:jc w:val="both"/>
        <w:rPr>
          <w:rFonts w:ascii="Arial" w:hAnsi="Arial" w:cs="Arial"/>
        </w:rPr>
      </w:pPr>
      <w:r>
        <w:rPr>
          <w:rFonts w:ascii="Arial" w:hAnsi="Arial" w:cs="Arial"/>
        </w:rPr>
        <w:t>L’impacte negatiu de la crisi, diferencialment més acusat en les rendes de les famílies de l’economia catalana</w:t>
      </w:r>
      <w:r w:rsidR="00636D8B">
        <w:rPr>
          <w:rFonts w:ascii="Arial" w:hAnsi="Arial" w:cs="Arial"/>
        </w:rPr>
        <w:t xml:space="preserve"> </w:t>
      </w:r>
      <w:r>
        <w:rPr>
          <w:rFonts w:ascii="Arial" w:hAnsi="Arial" w:cs="Arial"/>
        </w:rPr>
        <w:t>i espanyola que en la majoria de països de la UE-2</w:t>
      </w:r>
      <w:r w:rsidR="003F3182">
        <w:rPr>
          <w:rFonts w:ascii="Arial" w:hAnsi="Arial" w:cs="Arial"/>
        </w:rPr>
        <w:t>8</w:t>
      </w:r>
      <w:r>
        <w:rPr>
          <w:rFonts w:ascii="Arial" w:hAnsi="Arial" w:cs="Arial"/>
        </w:rPr>
        <w:t xml:space="preserve">, </w:t>
      </w:r>
      <w:r w:rsidR="005D7847">
        <w:rPr>
          <w:rFonts w:ascii="Arial" w:hAnsi="Arial" w:cs="Arial"/>
        </w:rPr>
        <w:t xml:space="preserve">també </w:t>
      </w:r>
      <w:r>
        <w:rPr>
          <w:rFonts w:ascii="Arial" w:hAnsi="Arial" w:cs="Arial"/>
        </w:rPr>
        <w:t xml:space="preserve">es </w:t>
      </w:r>
      <w:r>
        <w:rPr>
          <w:rFonts w:ascii="Arial" w:hAnsi="Arial" w:cs="Arial"/>
        </w:rPr>
        <w:lastRenderedPageBreak/>
        <w:t>posa de manifest</w:t>
      </w:r>
      <w:r w:rsidR="00E035E4">
        <w:rPr>
          <w:rFonts w:ascii="Arial" w:hAnsi="Arial" w:cs="Arial"/>
        </w:rPr>
        <w:t xml:space="preserve"> </w:t>
      </w:r>
      <w:r w:rsidR="00E81E88">
        <w:rPr>
          <w:rFonts w:ascii="Arial" w:hAnsi="Arial" w:cs="Arial"/>
        </w:rPr>
        <w:t xml:space="preserve">en la </w:t>
      </w:r>
      <w:r w:rsidR="004F310F">
        <w:rPr>
          <w:rFonts w:ascii="Arial" w:hAnsi="Arial" w:cs="Arial"/>
        </w:rPr>
        <w:t>més elevada</w:t>
      </w:r>
      <w:r w:rsidR="00E81E88">
        <w:rPr>
          <w:rFonts w:ascii="Arial" w:hAnsi="Arial" w:cs="Arial"/>
        </w:rPr>
        <w:t xml:space="preserve"> intensitat de la caiguda de l</w:t>
      </w:r>
      <w:r w:rsidR="00ED02BE">
        <w:rPr>
          <w:rFonts w:ascii="Arial" w:hAnsi="Arial" w:cs="Arial"/>
        </w:rPr>
        <w:t>a capacitat adquisitiva de les</w:t>
      </w:r>
      <w:r w:rsidR="00E81E88">
        <w:rPr>
          <w:rFonts w:ascii="Arial" w:hAnsi="Arial" w:cs="Arial"/>
        </w:rPr>
        <w:t xml:space="preserve"> rend</w:t>
      </w:r>
      <w:r w:rsidR="00ED02BE">
        <w:rPr>
          <w:rFonts w:ascii="Arial" w:hAnsi="Arial" w:cs="Arial"/>
        </w:rPr>
        <w:t>a</w:t>
      </w:r>
      <w:r w:rsidR="00E81E88">
        <w:rPr>
          <w:rFonts w:ascii="Arial" w:hAnsi="Arial" w:cs="Arial"/>
        </w:rPr>
        <w:t xml:space="preserve"> mitjan</w:t>
      </w:r>
      <w:r w:rsidR="00ED02BE">
        <w:rPr>
          <w:rFonts w:ascii="Arial" w:hAnsi="Arial" w:cs="Arial"/>
        </w:rPr>
        <w:t>a</w:t>
      </w:r>
      <w:r w:rsidR="00E81E88">
        <w:rPr>
          <w:rFonts w:ascii="Arial" w:hAnsi="Arial" w:cs="Arial"/>
        </w:rPr>
        <w:t xml:space="preserve"> disponible </w:t>
      </w:r>
      <w:r w:rsidR="00ED02BE">
        <w:rPr>
          <w:rFonts w:ascii="Arial" w:hAnsi="Arial" w:cs="Arial"/>
        </w:rPr>
        <w:t xml:space="preserve">bruta –sense ajustar i ajustada- </w:t>
      </w:r>
      <w:r w:rsidR="00E81E88">
        <w:rPr>
          <w:rFonts w:ascii="Arial" w:hAnsi="Arial" w:cs="Arial"/>
        </w:rPr>
        <w:t xml:space="preserve">de les </w:t>
      </w:r>
      <w:r w:rsidR="001D07A8">
        <w:rPr>
          <w:rFonts w:ascii="Arial" w:hAnsi="Arial" w:cs="Arial"/>
        </w:rPr>
        <w:t>llars</w:t>
      </w:r>
      <w:r w:rsidR="00ED02BE">
        <w:rPr>
          <w:rFonts w:ascii="Arial" w:hAnsi="Arial" w:cs="Arial"/>
        </w:rPr>
        <w:t xml:space="preserve">, que </w:t>
      </w:r>
      <w:r w:rsidR="00014E78">
        <w:rPr>
          <w:rFonts w:ascii="Arial" w:hAnsi="Arial" w:cs="Arial"/>
        </w:rPr>
        <w:t>des de l’inici de la crisi i fins l’any 201</w:t>
      </w:r>
      <w:r w:rsidR="00964CAB">
        <w:rPr>
          <w:rFonts w:ascii="Arial" w:hAnsi="Arial" w:cs="Arial"/>
        </w:rPr>
        <w:t>3</w:t>
      </w:r>
      <w:r w:rsidR="00014E78">
        <w:rPr>
          <w:rFonts w:ascii="Arial" w:hAnsi="Arial" w:cs="Arial"/>
        </w:rPr>
        <w:t xml:space="preserve">, tenen una caiguda </w:t>
      </w:r>
      <w:r w:rsidR="00B8616C">
        <w:rPr>
          <w:rFonts w:ascii="Arial" w:hAnsi="Arial" w:cs="Arial"/>
        </w:rPr>
        <w:t xml:space="preserve">significativament més intensa </w:t>
      </w:r>
      <w:r w:rsidR="00ED02BE">
        <w:rPr>
          <w:rFonts w:ascii="Arial" w:hAnsi="Arial" w:cs="Arial"/>
        </w:rPr>
        <w:t>que la reducció experimentada per les mateixes variables en termes mitjans pels països de la UE-2</w:t>
      </w:r>
      <w:r w:rsidR="00B8616C">
        <w:rPr>
          <w:rFonts w:ascii="Arial" w:hAnsi="Arial" w:cs="Arial"/>
        </w:rPr>
        <w:t>8</w:t>
      </w:r>
      <w:r w:rsidR="00ED02BE">
        <w:rPr>
          <w:rFonts w:ascii="Arial" w:hAnsi="Arial" w:cs="Arial"/>
        </w:rPr>
        <w:t>.</w:t>
      </w:r>
    </w:p>
    <w:p w:rsidR="00186F76" w:rsidRDefault="0038622F" w:rsidP="00415B3C">
      <w:pPr>
        <w:jc w:val="both"/>
        <w:rPr>
          <w:rFonts w:ascii="Arial" w:hAnsi="Arial" w:cs="Arial"/>
        </w:rPr>
      </w:pPr>
      <w:r>
        <w:rPr>
          <w:rFonts w:ascii="Arial" w:hAnsi="Arial" w:cs="Arial"/>
        </w:rPr>
        <w:t xml:space="preserve">Així, </w:t>
      </w:r>
      <w:r w:rsidR="00186F76">
        <w:rPr>
          <w:rFonts w:ascii="Arial" w:hAnsi="Arial" w:cs="Arial"/>
        </w:rPr>
        <w:t xml:space="preserve">mentre que en el conjunt d’Espanya </w:t>
      </w:r>
      <w:r>
        <w:rPr>
          <w:rFonts w:ascii="Arial" w:hAnsi="Arial" w:cs="Arial"/>
        </w:rPr>
        <w:t>la capacitat adquisitiva de</w:t>
      </w:r>
      <w:r w:rsidR="00B52CA6">
        <w:rPr>
          <w:rFonts w:ascii="Arial" w:hAnsi="Arial" w:cs="Arial"/>
        </w:rPr>
        <w:t xml:space="preserve"> la</w:t>
      </w:r>
      <w:r>
        <w:rPr>
          <w:rFonts w:ascii="Arial" w:hAnsi="Arial" w:cs="Arial"/>
        </w:rPr>
        <w:t xml:space="preserve"> Renda familiar bruta disponible per càpita</w:t>
      </w:r>
      <w:r w:rsidR="000F504C">
        <w:rPr>
          <w:rFonts w:ascii="Arial" w:hAnsi="Arial" w:cs="Arial"/>
        </w:rPr>
        <w:t xml:space="preserve"> </w:t>
      </w:r>
      <w:r w:rsidR="001D07A8">
        <w:rPr>
          <w:rFonts w:ascii="Arial" w:hAnsi="Arial" w:cs="Arial"/>
        </w:rPr>
        <w:t xml:space="preserve">no </w:t>
      </w:r>
      <w:r w:rsidR="00186F76">
        <w:rPr>
          <w:rFonts w:ascii="Arial" w:hAnsi="Arial" w:cs="Arial"/>
        </w:rPr>
        <w:t xml:space="preserve">ajustada i </w:t>
      </w:r>
      <w:r w:rsidR="001D07A8">
        <w:rPr>
          <w:rFonts w:ascii="Arial" w:hAnsi="Arial" w:cs="Arial"/>
        </w:rPr>
        <w:t>a</w:t>
      </w:r>
      <w:r w:rsidR="00186F76">
        <w:rPr>
          <w:rFonts w:ascii="Arial" w:hAnsi="Arial" w:cs="Arial"/>
        </w:rPr>
        <w:t>justada cau el -1</w:t>
      </w:r>
      <w:r w:rsidR="001D07A8">
        <w:rPr>
          <w:rFonts w:ascii="Arial" w:hAnsi="Arial" w:cs="Arial"/>
        </w:rPr>
        <w:t>2</w:t>
      </w:r>
      <w:r w:rsidR="00186F76">
        <w:rPr>
          <w:rFonts w:ascii="Arial" w:hAnsi="Arial" w:cs="Arial"/>
        </w:rPr>
        <w:t>,</w:t>
      </w:r>
      <w:r w:rsidR="001D07A8">
        <w:rPr>
          <w:rFonts w:ascii="Arial" w:hAnsi="Arial" w:cs="Arial"/>
        </w:rPr>
        <w:t>0</w:t>
      </w:r>
      <w:r w:rsidR="00186F76">
        <w:rPr>
          <w:rFonts w:ascii="Arial" w:hAnsi="Arial" w:cs="Arial"/>
        </w:rPr>
        <w:t>% i el -1</w:t>
      </w:r>
      <w:r w:rsidR="001D07A8">
        <w:rPr>
          <w:rFonts w:ascii="Arial" w:hAnsi="Arial" w:cs="Arial"/>
        </w:rPr>
        <w:t>1</w:t>
      </w:r>
      <w:r w:rsidR="002046C0">
        <w:rPr>
          <w:rFonts w:ascii="Arial" w:hAnsi="Arial" w:cs="Arial"/>
        </w:rPr>
        <w:t>,</w:t>
      </w:r>
      <w:r w:rsidR="001D07A8">
        <w:rPr>
          <w:rFonts w:ascii="Arial" w:hAnsi="Arial" w:cs="Arial"/>
        </w:rPr>
        <w:t>9</w:t>
      </w:r>
      <w:r w:rsidR="00186F76">
        <w:rPr>
          <w:rFonts w:ascii="Arial" w:hAnsi="Arial" w:cs="Arial"/>
        </w:rPr>
        <w:t>% respectivament, entre els anys 2007 i 201</w:t>
      </w:r>
      <w:r w:rsidR="00964CAB">
        <w:rPr>
          <w:rFonts w:ascii="Arial" w:hAnsi="Arial" w:cs="Arial"/>
        </w:rPr>
        <w:t>3</w:t>
      </w:r>
      <w:r w:rsidR="00186F76">
        <w:rPr>
          <w:rFonts w:ascii="Arial" w:hAnsi="Arial" w:cs="Arial"/>
        </w:rPr>
        <w:t>, en termes mitjans dels països de la UE-2</w:t>
      </w:r>
      <w:r w:rsidR="00964CAB">
        <w:rPr>
          <w:rFonts w:ascii="Arial" w:hAnsi="Arial" w:cs="Arial"/>
        </w:rPr>
        <w:t>8</w:t>
      </w:r>
      <w:r w:rsidR="00186F76">
        <w:rPr>
          <w:rFonts w:ascii="Arial" w:hAnsi="Arial" w:cs="Arial"/>
        </w:rPr>
        <w:t xml:space="preserve"> la caiguda d’aquestes mateixes dues variables </w:t>
      </w:r>
      <w:r w:rsidR="00964CAB">
        <w:rPr>
          <w:rFonts w:ascii="Arial" w:hAnsi="Arial" w:cs="Arial"/>
        </w:rPr>
        <w:t>és</w:t>
      </w:r>
      <w:r w:rsidR="00186F76">
        <w:rPr>
          <w:rFonts w:ascii="Arial" w:hAnsi="Arial" w:cs="Arial"/>
        </w:rPr>
        <w:t xml:space="preserve"> del -</w:t>
      </w:r>
      <w:r w:rsidR="00964CAB">
        <w:rPr>
          <w:rFonts w:ascii="Arial" w:hAnsi="Arial" w:cs="Arial"/>
        </w:rPr>
        <w:t>8</w:t>
      </w:r>
      <w:r w:rsidR="00186F76">
        <w:rPr>
          <w:rFonts w:ascii="Arial" w:hAnsi="Arial" w:cs="Arial"/>
        </w:rPr>
        <w:t>,</w:t>
      </w:r>
      <w:r w:rsidR="00964CAB">
        <w:rPr>
          <w:rFonts w:ascii="Arial" w:hAnsi="Arial" w:cs="Arial"/>
        </w:rPr>
        <w:t>5</w:t>
      </w:r>
      <w:r w:rsidR="00186F76">
        <w:rPr>
          <w:rFonts w:ascii="Arial" w:hAnsi="Arial" w:cs="Arial"/>
        </w:rPr>
        <w:t>%</w:t>
      </w:r>
      <w:r w:rsidR="001D07A8">
        <w:rPr>
          <w:rFonts w:ascii="Arial" w:hAnsi="Arial" w:cs="Arial"/>
        </w:rPr>
        <w:t xml:space="preserve"> i el -7,6%, respectivament</w:t>
      </w:r>
      <w:r w:rsidR="00964CAB">
        <w:rPr>
          <w:rFonts w:ascii="Arial" w:hAnsi="Arial" w:cs="Arial"/>
        </w:rPr>
        <w:t>.</w:t>
      </w:r>
    </w:p>
    <w:p w:rsidR="0038622F" w:rsidRDefault="00186F76" w:rsidP="00415B3C">
      <w:pPr>
        <w:jc w:val="both"/>
        <w:rPr>
          <w:rFonts w:ascii="Arial" w:hAnsi="Arial" w:cs="Arial"/>
        </w:rPr>
      </w:pPr>
      <w:r>
        <w:rPr>
          <w:rFonts w:ascii="Arial" w:hAnsi="Arial" w:cs="Arial"/>
        </w:rPr>
        <w:t xml:space="preserve">Les dades de Catalunya permeten analitzar l’evolució de la </w:t>
      </w:r>
      <w:r w:rsidR="005D7847">
        <w:rPr>
          <w:rFonts w:ascii="Arial" w:hAnsi="Arial" w:cs="Arial"/>
        </w:rPr>
        <w:t>Renda familiar bruta</w:t>
      </w:r>
      <w:r>
        <w:rPr>
          <w:rFonts w:ascii="Arial" w:hAnsi="Arial" w:cs="Arial"/>
        </w:rPr>
        <w:t xml:space="preserve"> fins l’any 201</w:t>
      </w:r>
      <w:r w:rsidR="00964CAB">
        <w:rPr>
          <w:rFonts w:ascii="Arial" w:hAnsi="Arial" w:cs="Arial"/>
        </w:rPr>
        <w:t>2.</w:t>
      </w:r>
      <w:r w:rsidR="000F504C">
        <w:rPr>
          <w:rFonts w:ascii="Arial" w:hAnsi="Arial" w:cs="Arial"/>
        </w:rPr>
        <w:t xml:space="preserve"> </w:t>
      </w:r>
      <w:r w:rsidR="00964CAB">
        <w:rPr>
          <w:rFonts w:ascii="Arial" w:hAnsi="Arial" w:cs="Arial"/>
        </w:rPr>
        <w:t>D</w:t>
      </w:r>
      <w:r>
        <w:rPr>
          <w:rFonts w:ascii="Arial" w:hAnsi="Arial" w:cs="Arial"/>
        </w:rPr>
        <w:t xml:space="preserve">es de l’inici de la crisi la RFBD per càpita </w:t>
      </w:r>
      <w:r w:rsidR="001D07A8">
        <w:rPr>
          <w:rFonts w:ascii="Arial" w:hAnsi="Arial" w:cs="Arial"/>
        </w:rPr>
        <w:t xml:space="preserve">no </w:t>
      </w:r>
      <w:r>
        <w:rPr>
          <w:rFonts w:ascii="Arial" w:hAnsi="Arial" w:cs="Arial"/>
        </w:rPr>
        <w:t>ajustada i aj</w:t>
      </w:r>
      <w:r w:rsidR="00657864">
        <w:rPr>
          <w:rFonts w:ascii="Arial" w:hAnsi="Arial" w:cs="Arial"/>
        </w:rPr>
        <w:t>ustada ha</w:t>
      </w:r>
      <w:r w:rsidR="00964CAB">
        <w:rPr>
          <w:rFonts w:ascii="Arial" w:hAnsi="Arial" w:cs="Arial"/>
        </w:rPr>
        <w:t>n</w:t>
      </w:r>
      <w:r w:rsidR="00657864">
        <w:rPr>
          <w:rFonts w:ascii="Arial" w:hAnsi="Arial" w:cs="Arial"/>
        </w:rPr>
        <w:t xml:space="preserve"> caigut el -</w:t>
      </w:r>
      <w:r w:rsidR="00964CAB">
        <w:rPr>
          <w:rFonts w:ascii="Arial" w:hAnsi="Arial" w:cs="Arial"/>
        </w:rPr>
        <w:t>11</w:t>
      </w:r>
      <w:r w:rsidR="00657864">
        <w:rPr>
          <w:rFonts w:ascii="Arial" w:hAnsi="Arial" w:cs="Arial"/>
        </w:rPr>
        <w:t>,</w:t>
      </w:r>
      <w:r w:rsidR="001D07A8">
        <w:rPr>
          <w:rFonts w:ascii="Arial" w:hAnsi="Arial" w:cs="Arial"/>
        </w:rPr>
        <w:t>6</w:t>
      </w:r>
      <w:r w:rsidR="00657864">
        <w:rPr>
          <w:rFonts w:ascii="Arial" w:hAnsi="Arial" w:cs="Arial"/>
        </w:rPr>
        <w:t>% i</w:t>
      </w:r>
      <w:r w:rsidR="00C34C8F">
        <w:rPr>
          <w:rFonts w:ascii="Arial" w:hAnsi="Arial" w:cs="Arial"/>
        </w:rPr>
        <w:t xml:space="preserve"> el -</w:t>
      </w:r>
      <w:r w:rsidR="00964CAB">
        <w:rPr>
          <w:rFonts w:ascii="Arial" w:hAnsi="Arial" w:cs="Arial"/>
        </w:rPr>
        <w:t>11</w:t>
      </w:r>
      <w:r>
        <w:rPr>
          <w:rFonts w:ascii="Arial" w:hAnsi="Arial" w:cs="Arial"/>
        </w:rPr>
        <w:t>,</w:t>
      </w:r>
      <w:r w:rsidR="001D07A8">
        <w:rPr>
          <w:rFonts w:ascii="Arial" w:hAnsi="Arial" w:cs="Arial"/>
        </w:rPr>
        <w:t>2</w:t>
      </w:r>
      <w:r>
        <w:rPr>
          <w:rFonts w:ascii="Arial" w:hAnsi="Arial" w:cs="Arial"/>
        </w:rPr>
        <w:t>%</w:t>
      </w:r>
      <w:r w:rsidR="00392B22">
        <w:rPr>
          <w:rFonts w:ascii="Arial" w:hAnsi="Arial" w:cs="Arial"/>
        </w:rPr>
        <w:t xml:space="preserve">, </w:t>
      </w:r>
      <w:r>
        <w:rPr>
          <w:rFonts w:ascii="Arial" w:hAnsi="Arial" w:cs="Arial"/>
        </w:rPr>
        <w:t xml:space="preserve">respectivament. Tenint en compte que aquestes taxes són molt similars a les d’Espanya fins aquell any, </w:t>
      </w:r>
      <w:r w:rsidR="00F15703">
        <w:rPr>
          <w:rFonts w:ascii="Arial" w:hAnsi="Arial" w:cs="Arial"/>
        </w:rPr>
        <w:t>és previsible</w:t>
      </w:r>
      <w:r>
        <w:rPr>
          <w:rFonts w:ascii="Arial" w:hAnsi="Arial" w:cs="Arial"/>
        </w:rPr>
        <w:t xml:space="preserve"> que </w:t>
      </w:r>
      <w:r w:rsidR="00A95E0A">
        <w:rPr>
          <w:rFonts w:ascii="Arial" w:hAnsi="Arial" w:cs="Arial"/>
        </w:rPr>
        <w:t xml:space="preserve">a partir de </w:t>
      </w:r>
      <w:r w:rsidR="00964CAB">
        <w:rPr>
          <w:rFonts w:ascii="Arial" w:hAnsi="Arial" w:cs="Arial"/>
        </w:rPr>
        <w:t>l’any 2013</w:t>
      </w:r>
      <w:r>
        <w:rPr>
          <w:rFonts w:ascii="Arial" w:hAnsi="Arial" w:cs="Arial"/>
        </w:rPr>
        <w:t xml:space="preserve"> la caiguda de la renda disponible per càpita a Catalunya s’intensifiqui.</w:t>
      </w:r>
    </w:p>
    <w:p w:rsidR="00653D55" w:rsidRDefault="00653D55" w:rsidP="00415B3C">
      <w:pPr>
        <w:jc w:val="both"/>
        <w:rPr>
          <w:rFonts w:ascii="Arial" w:hAnsi="Arial" w:cs="Arial"/>
        </w:rPr>
      </w:pPr>
    </w:p>
    <w:p w:rsidR="004649C4" w:rsidRPr="00D26654" w:rsidRDefault="00F918BF" w:rsidP="0015295C">
      <w:pPr>
        <w:spacing w:after="0"/>
        <w:rPr>
          <w:rFonts w:ascii="Arial" w:hAnsi="Arial" w:cs="Arial"/>
          <w:b/>
          <w:sz w:val="20"/>
          <w:szCs w:val="20"/>
        </w:rPr>
      </w:pPr>
      <w:bookmarkStart w:id="13" w:name="OLE_LINK6"/>
      <w:r w:rsidRPr="00D26654">
        <w:rPr>
          <w:rFonts w:ascii="Arial" w:hAnsi="Arial" w:cs="Arial"/>
          <w:b/>
          <w:sz w:val="20"/>
          <w:szCs w:val="20"/>
        </w:rPr>
        <w:t>Caiguda de la capacitat adquisitiva del PIB per càpita.</w:t>
      </w:r>
      <w:r w:rsidR="00112DF3">
        <w:rPr>
          <w:rFonts w:ascii="Arial" w:hAnsi="Arial" w:cs="Arial"/>
          <w:b/>
          <w:sz w:val="20"/>
          <w:szCs w:val="20"/>
        </w:rPr>
        <w:t xml:space="preserve"> </w:t>
      </w:r>
      <w:r w:rsidRPr="00D26654">
        <w:rPr>
          <w:rFonts w:ascii="Arial" w:hAnsi="Arial" w:cs="Arial"/>
          <w:b/>
          <w:sz w:val="20"/>
          <w:szCs w:val="20"/>
        </w:rPr>
        <w:t>UE-2</w:t>
      </w:r>
      <w:r>
        <w:rPr>
          <w:rFonts w:ascii="Arial" w:hAnsi="Arial" w:cs="Arial"/>
          <w:b/>
          <w:sz w:val="20"/>
          <w:szCs w:val="20"/>
        </w:rPr>
        <w:t>8</w:t>
      </w:r>
      <w:r w:rsidRPr="00D26654">
        <w:rPr>
          <w:rFonts w:ascii="Arial" w:hAnsi="Arial" w:cs="Arial"/>
          <w:b/>
          <w:sz w:val="20"/>
          <w:szCs w:val="20"/>
        </w:rPr>
        <w:t>, Catalunya i Espanya</w:t>
      </w:r>
      <w:r w:rsidR="00C47918">
        <w:rPr>
          <w:rFonts w:ascii="Arial" w:hAnsi="Arial" w:cs="Arial"/>
          <w:b/>
          <w:sz w:val="20"/>
          <w:szCs w:val="20"/>
        </w:rPr>
        <w:t>, 2007</w:t>
      </w:r>
      <w:r w:rsidR="00C47918">
        <w:rPr>
          <w:rFonts w:ascii="Arial" w:hAnsi="Arial" w:cs="Arial"/>
          <w:b/>
          <w:sz w:val="20"/>
          <w:szCs w:val="20"/>
        </w:rPr>
        <w:noBreakHyphen/>
      </w:r>
      <w:r w:rsidR="0015295C">
        <w:rPr>
          <w:rFonts w:ascii="Arial" w:hAnsi="Arial" w:cs="Arial"/>
          <w:b/>
          <w:sz w:val="20"/>
          <w:szCs w:val="20"/>
        </w:rPr>
        <w:t>2014</w:t>
      </w:r>
    </w:p>
    <w:bookmarkEnd w:id="13"/>
    <w:p w:rsidR="004649C4" w:rsidRPr="0015295C" w:rsidRDefault="00112DF3" w:rsidP="00D26654">
      <w:pPr>
        <w:spacing w:after="0"/>
        <w:jc w:val="both"/>
        <w:rPr>
          <w:rFonts w:ascii="Arial" w:hAnsi="Arial" w:cs="Arial"/>
          <w:sz w:val="16"/>
          <w:szCs w:val="16"/>
        </w:rPr>
      </w:pPr>
      <w:r w:rsidRPr="00112DF3">
        <w:rPr>
          <w:noProof/>
          <w:szCs w:val="16"/>
          <w:lang w:eastAsia="ca-ES"/>
        </w:rPr>
        <w:drawing>
          <wp:inline distT="0" distB="0" distL="0" distR="0">
            <wp:extent cx="5400040" cy="2894573"/>
            <wp:effectExtent l="19050" t="0" r="0" b="0"/>
            <wp:docPr id="34"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srcRect/>
                    <a:stretch>
                      <a:fillRect/>
                    </a:stretch>
                  </pic:blipFill>
                  <pic:spPr bwMode="auto">
                    <a:xfrm>
                      <a:off x="0" y="0"/>
                      <a:ext cx="5400040" cy="2894573"/>
                    </a:xfrm>
                    <a:prstGeom prst="rect">
                      <a:avLst/>
                    </a:prstGeom>
                    <a:noFill/>
                    <a:ln w="9525">
                      <a:noFill/>
                      <a:miter lim="800000"/>
                      <a:headEnd/>
                      <a:tailEnd/>
                    </a:ln>
                  </pic:spPr>
                </pic:pic>
              </a:graphicData>
            </a:graphic>
          </wp:inline>
        </w:drawing>
      </w:r>
    </w:p>
    <w:p w:rsidR="004649C4" w:rsidRDefault="004649C4" w:rsidP="0039529B">
      <w:pPr>
        <w:jc w:val="both"/>
        <w:rPr>
          <w:rFonts w:ascii="Arial" w:hAnsi="Arial" w:cs="Arial"/>
          <w:sz w:val="16"/>
          <w:szCs w:val="16"/>
        </w:rPr>
      </w:pPr>
      <w:r w:rsidRPr="00A83FB2">
        <w:rPr>
          <w:rFonts w:ascii="Arial" w:hAnsi="Arial" w:cs="Arial"/>
          <w:sz w:val="16"/>
          <w:szCs w:val="16"/>
        </w:rPr>
        <w:t>Font: Elaboració pròpia a partir de dades d’Eurostat, INE i Idescat.</w:t>
      </w:r>
    </w:p>
    <w:p w:rsidR="00BF39D9" w:rsidRDefault="00BF39D9">
      <w:pPr>
        <w:spacing w:after="0" w:line="240" w:lineRule="auto"/>
        <w:rPr>
          <w:rFonts w:ascii="Arial" w:hAnsi="Arial" w:cs="Arial"/>
        </w:rPr>
      </w:pPr>
      <w:bookmarkStart w:id="14" w:name="OLE_LINK37"/>
      <w:bookmarkStart w:id="15" w:name="OLE_LINK8"/>
    </w:p>
    <w:p w:rsidR="00593AD1" w:rsidRDefault="00593AD1">
      <w:pPr>
        <w:spacing w:after="0" w:line="240" w:lineRule="auto"/>
        <w:rPr>
          <w:rFonts w:ascii="Arial" w:hAnsi="Arial" w:cs="Arial"/>
        </w:rPr>
      </w:pPr>
      <w:r>
        <w:rPr>
          <w:rFonts w:ascii="Arial" w:hAnsi="Arial" w:cs="Arial"/>
        </w:rPr>
        <w:br w:type="page"/>
      </w:r>
    </w:p>
    <w:p w:rsidR="00D26654" w:rsidRPr="00AA2BE1" w:rsidRDefault="00D26654" w:rsidP="0039529B">
      <w:pPr>
        <w:rPr>
          <w:rFonts w:ascii="Arial" w:hAnsi="Arial" w:cs="Arial"/>
        </w:rPr>
      </w:pPr>
    </w:p>
    <w:bookmarkEnd w:id="14"/>
    <w:p w:rsidR="00AD647F" w:rsidRPr="00D26654" w:rsidRDefault="00F918BF" w:rsidP="0015295C">
      <w:pPr>
        <w:spacing w:after="0"/>
        <w:rPr>
          <w:rFonts w:ascii="Arial" w:hAnsi="Arial" w:cs="Arial"/>
          <w:b/>
          <w:sz w:val="20"/>
          <w:szCs w:val="20"/>
        </w:rPr>
      </w:pPr>
      <w:r w:rsidRPr="00D26654">
        <w:rPr>
          <w:rFonts w:ascii="Arial" w:hAnsi="Arial" w:cs="Arial"/>
          <w:b/>
          <w:sz w:val="20"/>
          <w:szCs w:val="20"/>
        </w:rPr>
        <w:t xml:space="preserve">Evolució de diferents indicadors de </w:t>
      </w:r>
      <w:r>
        <w:rPr>
          <w:rFonts w:ascii="Arial" w:hAnsi="Arial" w:cs="Arial"/>
          <w:b/>
          <w:sz w:val="20"/>
          <w:szCs w:val="20"/>
        </w:rPr>
        <w:t xml:space="preserve">la capacitat adquisitiva de la </w:t>
      </w:r>
      <w:r w:rsidRPr="00D26654">
        <w:rPr>
          <w:rFonts w:ascii="Arial" w:hAnsi="Arial" w:cs="Arial"/>
          <w:b/>
          <w:sz w:val="20"/>
          <w:szCs w:val="20"/>
        </w:rPr>
        <w:t>re</w:t>
      </w:r>
      <w:r>
        <w:rPr>
          <w:rFonts w:ascii="Arial" w:hAnsi="Arial" w:cs="Arial"/>
          <w:b/>
          <w:sz w:val="20"/>
          <w:szCs w:val="20"/>
        </w:rPr>
        <w:t xml:space="preserve">nda per </w:t>
      </w:r>
      <w:r w:rsidR="0015295C">
        <w:rPr>
          <w:rFonts w:ascii="Arial" w:hAnsi="Arial" w:cs="Arial"/>
          <w:b/>
          <w:sz w:val="20"/>
          <w:szCs w:val="20"/>
        </w:rPr>
        <w:t>càpita</w:t>
      </w:r>
      <w:r w:rsidRPr="00D26654">
        <w:rPr>
          <w:rFonts w:ascii="Arial" w:hAnsi="Arial" w:cs="Arial"/>
          <w:b/>
          <w:sz w:val="20"/>
          <w:szCs w:val="20"/>
        </w:rPr>
        <w:t>. Catalunya</w:t>
      </w:r>
      <w:r w:rsidR="0015295C">
        <w:rPr>
          <w:rFonts w:ascii="Arial" w:hAnsi="Arial" w:cs="Arial"/>
          <w:b/>
          <w:sz w:val="20"/>
          <w:szCs w:val="20"/>
        </w:rPr>
        <w:t>, 2005-2014</w:t>
      </w:r>
    </w:p>
    <w:bookmarkEnd w:id="15"/>
    <w:p w:rsidR="0015295C" w:rsidRDefault="00112DF3" w:rsidP="00D26654">
      <w:pPr>
        <w:spacing w:after="0"/>
        <w:jc w:val="both"/>
        <w:rPr>
          <w:rFonts w:ascii="Arial" w:hAnsi="Arial" w:cs="Arial"/>
          <w:sz w:val="16"/>
          <w:szCs w:val="16"/>
        </w:rPr>
      </w:pPr>
      <w:r w:rsidRPr="00112DF3">
        <w:rPr>
          <w:noProof/>
          <w:szCs w:val="16"/>
          <w:lang w:eastAsia="ca-ES"/>
        </w:rPr>
        <w:drawing>
          <wp:inline distT="0" distB="0" distL="0" distR="0">
            <wp:extent cx="5400040" cy="2894573"/>
            <wp:effectExtent l="19050" t="0" r="0" b="0"/>
            <wp:docPr id="32"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srcRect/>
                    <a:stretch>
                      <a:fillRect/>
                    </a:stretch>
                  </pic:blipFill>
                  <pic:spPr bwMode="auto">
                    <a:xfrm>
                      <a:off x="0" y="0"/>
                      <a:ext cx="5400040" cy="2894573"/>
                    </a:xfrm>
                    <a:prstGeom prst="rect">
                      <a:avLst/>
                    </a:prstGeom>
                    <a:noFill/>
                    <a:ln w="9525">
                      <a:noFill/>
                      <a:miter lim="800000"/>
                      <a:headEnd/>
                      <a:tailEnd/>
                    </a:ln>
                  </pic:spPr>
                </pic:pic>
              </a:graphicData>
            </a:graphic>
          </wp:inline>
        </w:drawing>
      </w:r>
    </w:p>
    <w:p w:rsidR="00F47BF3" w:rsidRDefault="00F47BF3" w:rsidP="00D26654">
      <w:pPr>
        <w:spacing w:after="0"/>
        <w:jc w:val="both"/>
        <w:rPr>
          <w:rFonts w:ascii="Arial" w:hAnsi="Arial" w:cs="Arial"/>
          <w:sz w:val="16"/>
          <w:szCs w:val="16"/>
        </w:rPr>
      </w:pPr>
      <w:r>
        <w:rPr>
          <w:rFonts w:ascii="Arial" w:hAnsi="Arial" w:cs="Arial"/>
          <w:sz w:val="16"/>
          <w:szCs w:val="16"/>
        </w:rPr>
        <w:t xml:space="preserve">Nota: RFBD per càpita és la Renda familiar </w:t>
      </w:r>
      <w:r w:rsidR="00B34283">
        <w:rPr>
          <w:rFonts w:ascii="Arial" w:hAnsi="Arial" w:cs="Arial"/>
          <w:sz w:val="16"/>
          <w:szCs w:val="16"/>
        </w:rPr>
        <w:t xml:space="preserve">bruta </w:t>
      </w:r>
      <w:r>
        <w:rPr>
          <w:rFonts w:ascii="Arial" w:hAnsi="Arial" w:cs="Arial"/>
          <w:sz w:val="16"/>
          <w:szCs w:val="16"/>
        </w:rPr>
        <w:t xml:space="preserve">disponible del sector de les llars dividit per la població. </w:t>
      </w:r>
    </w:p>
    <w:p w:rsidR="00A43154" w:rsidRDefault="00A43154" w:rsidP="00D26654">
      <w:pPr>
        <w:spacing w:after="0"/>
        <w:jc w:val="both"/>
        <w:rPr>
          <w:rFonts w:ascii="Arial" w:hAnsi="Arial" w:cs="Arial"/>
          <w:sz w:val="16"/>
          <w:szCs w:val="16"/>
        </w:rPr>
      </w:pPr>
      <w:r>
        <w:rPr>
          <w:rFonts w:ascii="Arial" w:hAnsi="Arial" w:cs="Arial"/>
          <w:sz w:val="16"/>
          <w:szCs w:val="16"/>
        </w:rPr>
        <w:t>(P): provisional.</w:t>
      </w:r>
    </w:p>
    <w:p w:rsidR="00D578BF" w:rsidRPr="00A83FB2" w:rsidRDefault="00D578BF" w:rsidP="0039529B">
      <w:pPr>
        <w:jc w:val="both"/>
        <w:rPr>
          <w:rFonts w:ascii="Arial" w:hAnsi="Arial" w:cs="Arial"/>
          <w:sz w:val="16"/>
          <w:szCs w:val="16"/>
        </w:rPr>
      </w:pPr>
      <w:r w:rsidRPr="00A83FB2">
        <w:rPr>
          <w:rFonts w:ascii="Arial" w:hAnsi="Arial" w:cs="Arial"/>
          <w:sz w:val="16"/>
          <w:szCs w:val="16"/>
        </w:rPr>
        <w:t>Font: Elaboració pròpia a partir de dades d’Eurostat, INE i Idescat.</w:t>
      </w:r>
    </w:p>
    <w:p w:rsidR="00E54CBD" w:rsidRPr="00AA2BE1" w:rsidRDefault="00E54CBD" w:rsidP="0039529B">
      <w:pPr>
        <w:rPr>
          <w:rFonts w:ascii="Arial" w:hAnsi="Arial" w:cs="Arial"/>
        </w:rPr>
      </w:pPr>
      <w:bookmarkStart w:id="16" w:name="OLE_LINK10"/>
      <w:bookmarkStart w:id="17" w:name="OLE_LINK38"/>
    </w:p>
    <w:p w:rsidR="00653D55" w:rsidRPr="00AA2BE1" w:rsidRDefault="00653D55" w:rsidP="0039529B">
      <w:pPr>
        <w:rPr>
          <w:rFonts w:ascii="Arial" w:hAnsi="Arial" w:cs="Arial"/>
        </w:rPr>
      </w:pPr>
    </w:p>
    <w:p w:rsidR="00440A21" w:rsidRPr="00D26654" w:rsidRDefault="00F918BF" w:rsidP="0015295C">
      <w:pPr>
        <w:spacing w:after="0"/>
        <w:rPr>
          <w:rFonts w:ascii="Arial" w:hAnsi="Arial" w:cs="Arial"/>
          <w:b/>
          <w:sz w:val="20"/>
          <w:szCs w:val="20"/>
        </w:rPr>
      </w:pPr>
      <w:r w:rsidRPr="00D26654">
        <w:rPr>
          <w:rFonts w:ascii="Arial" w:hAnsi="Arial" w:cs="Arial"/>
          <w:b/>
          <w:sz w:val="20"/>
          <w:szCs w:val="20"/>
        </w:rPr>
        <w:t>Evolució de diferents indicadors de</w:t>
      </w:r>
      <w:r>
        <w:rPr>
          <w:rFonts w:ascii="Arial" w:hAnsi="Arial" w:cs="Arial"/>
          <w:b/>
          <w:sz w:val="20"/>
          <w:szCs w:val="20"/>
        </w:rPr>
        <w:t xml:space="preserve"> la capacitat adquisitiva de la</w:t>
      </w:r>
      <w:r w:rsidRPr="00D26654">
        <w:rPr>
          <w:rFonts w:ascii="Arial" w:hAnsi="Arial" w:cs="Arial"/>
          <w:b/>
          <w:sz w:val="20"/>
          <w:szCs w:val="20"/>
        </w:rPr>
        <w:t xml:space="preserve"> renda per càpita. UE-2</w:t>
      </w:r>
      <w:r>
        <w:rPr>
          <w:rFonts w:ascii="Arial" w:hAnsi="Arial" w:cs="Arial"/>
          <w:b/>
          <w:sz w:val="20"/>
          <w:szCs w:val="20"/>
        </w:rPr>
        <w:t>8</w:t>
      </w:r>
      <w:r w:rsidR="0015295C">
        <w:rPr>
          <w:rFonts w:ascii="Arial" w:hAnsi="Arial" w:cs="Arial"/>
          <w:b/>
          <w:sz w:val="20"/>
          <w:szCs w:val="20"/>
        </w:rPr>
        <w:t>, 2005-2014</w:t>
      </w:r>
    </w:p>
    <w:bookmarkEnd w:id="16"/>
    <w:bookmarkEnd w:id="17"/>
    <w:p w:rsidR="0099054A" w:rsidRPr="0015295C" w:rsidRDefault="00112DF3" w:rsidP="00D26654">
      <w:pPr>
        <w:spacing w:after="0"/>
        <w:jc w:val="both"/>
        <w:rPr>
          <w:rFonts w:ascii="Arial" w:hAnsi="Arial" w:cs="Arial"/>
          <w:sz w:val="16"/>
          <w:szCs w:val="16"/>
        </w:rPr>
      </w:pPr>
      <w:r w:rsidRPr="00112DF3">
        <w:rPr>
          <w:noProof/>
          <w:szCs w:val="16"/>
          <w:lang w:eastAsia="ca-ES"/>
        </w:rPr>
        <w:drawing>
          <wp:inline distT="0" distB="0" distL="0" distR="0">
            <wp:extent cx="5400040" cy="2894573"/>
            <wp:effectExtent l="19050" t="0" r="0" b="0"/>
            <wp:docPr id="33"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srcRect/>
                    <a:stretch>
                      <a:fillRect/>
                    </a:stretch>
                  </pic:blipFill>
                  <pic:spPr bwMode="auto">
                    <a:xfrm>
                      <a:off x="0" y="0"/>
                      <a:ext cx="5400040" cy="2894573"/>
                    </a:xfrm>
                    <a:prstGeom prst="rect">
                      <a:avLst/>
                    </a:prstGeom>
                    <a:noFill/>
                    <a:ln w="9525">
                      <a:noFill/>
                      <a:miter lim="800000"/>
                      <a:headEnd/>
                      <a:tailEnd/>
                    </a:ln>
                  </pic:spPr>
                </pic:pic>
              </a:graphicData>
            </a:graphic>
          </wp:inline>
        </w:drawing>
      </w:r>
    </w:p>
    <w:p w:rsidR="00B34283" w:rsidRDefault="00B34283" w:rsidP="00B34283">
      <w:pPr>
        <w:spacing w:after="0"/>
        <w:jc w:val="both"/>
        <w:rPr>
          <w:rFonts w:ascii="Arial" w:hAnsi="Arial" w:cs="Arial"/>
          <w:sz w:val="16"/>
          <w:szCs w:val="16"/>
        </w:rPr>
      </w:pPr>
      <w:r>
        <w:rPr>
          <w:rFonts w:ascii="Arial" w:hAnsi="Arial" w:cs="Arial"/>
          <w:sz w:val="16"/>
          <w:szCs w:val="16"/>
        </w:rPr>
        <w:t>Nota: RFBD per càpita és la Renda familiar bruta disponible del sector de les</w:t>
      </w:r>
      <w:r w:rsidR="0015295C">
        <w:rPr>
          <w:rFonts w:ascii="Arial" w:hAnsi="Arial" w:cs="Arial"/>
          <w:sz w:val="16"/>
          <w:szCs w:val="16"/>
        </w:rPr>
        <w:t xml:space="preserve"> llars dividit per la població.</w:t>
      </w:r>
    </w:p>
    <w:p w:rsidR="003D2EB7" w:rsidRDefault="003D2EB7" w:rsidP="0039529B">
      <w:pPr>
        <w:jc w:val="both"/>
        <w:rPr>
          <w:rFonts w:ascii="Arial" w:hAnsi="Arial" w:cs="Arial"/>
          <w:sz w:val="16"/>
          <w:szCs w:val="16"/>
        </w:rPr>
      </w:pPr>
      <w:r w:rsidRPr="00A83FB2">
        <w:rPr>
          <w:rFonts w:ascii="Arial" w:hAnsi="Arial" w:cs="Arial"/>
          <w:sz w:val="16"/>
          <w:szCs w:val="16"/>
        </w:rPr>
        <w:t xml:space="preserve">Font: Elaboració pròpia a partir de dades </w:t>
      </w:r>
      <w:r w:rsidR="00D26654">
        <w:rPr>
          <w:rFonts w:ascii="Arial" w:hAnsi="Arial" w:cs="Arial"/>
          <w:sz w:val="16"/>
          <w:szCs w:val="16"/>
        </w:rPr>
        <w:t>d’Eurostat</w:t>
      </w:r>
      <w:r w:rsidRPr="00A83FB2">
        <w:rPr>
          <w:rFonts w:ascii="Arial" w:hAnsi="Arial" w:cs="Arial"/>
          <w:sz w:val="16"/>
          <w:szCs w:val="16"/>
        </w:rPr>
        <w:t>.</w:t>
      </w:r>
    </w:p>
    <w:p w:rsidR="004F28BE" w:rsidRPr="00AA2BE1" w:rsidRDefault="004F28BE" w:rsidP="0039529B">
      <w:pPr>
        <w:jc w:val="both"/>
        <w:rPr>
          <w:rFonts w:ascii="Arial" w:hAnsi="Arial" w:cs="Arial"/>
        </w:rPr>
      </w:pPr>
      <w:bookmarkStart w:id="18" w:name="OLE_LINK11"/>
      <w:bookmarkStart w:id="19" w:name="OLE_LINK39"/>
    </w:p>
    <w:p w:rsidR="004649C4" w:rsidRPr="00D26654" w:rsidRDefault="00F918BF" w:rsidP="0015295C">
      <w:pPr>
        <w:spacing w:after="0"/>
        <w:rPr>
          <w:rFonts w:ascii="Arial" w:hAnsi="Arial" w:cs="Arial"/>
          <w:b/>
          <w:sz w:val="20"/>
          <w:szCs w:val="20"/>
        </w:rPr>
      </w:pPr>
      <w:r w:rsidRPr="00694554">
        <w:rPr>
          <w:rFonts w:ascii="Arial" w:hAnsi="Arial" w:cs="Arial"/>
          <w:b/>
          <w:sz w:val="20"/>
          <w:szCs w:val="20"/>
        </w:rPr>
        <w:lastRenderedPageBreak/>
        <w:t>Evolució de diferents indicadors de la capacitat adquisitiva de la renda per càpita. Espanya</w:t>
      </w:r>
      <w:r w:rsidR="0015295C" w:rsidRPr="00694554">
        <w:rPr>
          <w:rFonts w:ascii="Arial" w:hAnsi="Arial" w:cs="Arial"/>
          <w:b/>
          <w:sz w:val="20"/>
          <w:szCs w:val="20"/>
        </w:rPr>
        <w:t>, 2005-2014</w:t>
      </w:r>
    </w:p>
    <w:bookmarkEnd w:id="18"/>
    <w:bookmarkEnd w:id="19"/>
    <w:p w:rsidR="004649C4" w:rsidRPr="0015295C" w:rsidRDefault="008E1C35" w:rsidP="00D26654">
      <w:pPr>
        <w:spacing w:after="0"/>
        <w:jc w:val="both"/>
        <w:rPr>
          <w:rFonts w:ascii="Arial" w:hAnsi="Arial" w:cs="Arial"/>
          <w:sz w:val="16"/>
          <w:szCs w:val="16"/>
        </w:rPr>
      </w:pPr>
      <w:r w:rsidRPr="008E1C35">
        <w:rPr>
          <w:noProof/>
          <w:szCs w:val="16"/>
          <w:lang w:eastAsia="ca-ES"/>
        </w:rPr>
        <w:drawing>
          <wp:inline distT="0" distB="0" distL="0" distR="0">
            <wp:extent cx="5400040" cy="2885083"/>
            <wp:effectExtent l="19050" t="0" r="0" b="0"/>
            <wp:docPr id="31"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B34283" w:rsidRDefault="00B34283" w:rsidP="00B34283">
      <w:pPr>
        <w:spacing w:after="0"/>
        <w:jc w:val="both"/>
        <w:rPr>
          <w:rFonts w:ascii="Arial" w:hAnsi="Arial" w:cs="Arial"/>
          <w:sz w:val="16"/>
          <w:szCs w:val="16"/>
        </w:rPr>
      </w:pPr>
      <w:r>
        <w:rPr>
          <w:rFonts w:ascii="Arial" w:hAnsi="Arial" w:cs="Arial"/>
          <w:sz w:val="16"/>
          <w:szCs w:val="16"/>
        </w:rPr>
        <w:t>Nota: RFBD per càpita és la Renda familiar bruta disponible del sector de les</w:t>
      </w:r>
      <w:r w:rsidR="004A0C97">
        <w:rPr>
          <w:rFonts w:ascii="Arial" w:hAnsi="Arial" w:cs="Arial"/>
          <w:sz w:val="16"/>
          <w:szCs w:val="16"/>
        </w:rPr>
        <w:t xml:space="preserve"> llars dividit per la població.</w:t>
      </w:r>
    </w:p>
    <w:p w:rsidR="00A43154" w:rsidRDefault="00A43154" w:rsidP="00B34283">
      <w:pPr>
        <w:spacing w:after="0"/>
        <w:jc w:val="both"/>
        <w:rPr>
          <w:rFonts w:ascii="Arial" w:hAnsi="Arial" w:cs="Arial"/>
          <w:sz w:val="16"/>
          <w:szCs w:val="16"/>
        </w:rPr>
      </w:pPr>
      <w:r>
        <w:rPr>
          <w:rFonts w:ascii="Arial" w:hAnsi="Arial" w:cs="Arial"/>
          <w:sz w:val="16"/>
          <w:szCs w:val="16"/>
        </w:rPr>
        <w:t>(P): provisional.</w:t>
      </w:r>
    </w:p>
    <w:p w:rsidR="004649C4" w:rsidRPr="00A83FB2" w:rsidRDefault="004649C4" w:rsidP="0039529B">
      <w:pPr>
        <w:jc w:val="both"/>
        <w:rPr>
          <w:rFonts w:ascii="Arial" w:hAnsi="Arial" w:cs="Arial"/>
          <w:sz w:val="16"/>
          <w:szCs w:val="16"/>
        </w:rPr>
      </w:pPr>
      <w:r w:rsidRPr="00A83FB2">
        <w:rPr>
          <w:rFonts w:ascii="Arial" w:hAnsi="Arial" w:cs="Arial"/>
          <w:sz w:val="16"/>
          <w:szCs w:val="16"/>
        </w:rPr>
        <w:t>Font: Elaboració pròpia a partir de dades d’Eurostat, INE i Idescat.</w:t>
      </w:r>
    </w:p>
    <w:p w:rsidR="00BF39D9" w:rsidRDefault="00BF39D9" w:rsidP="0039529B">
      <w:pPr>
        <w:jc w:val="both"/>
        <w:rPr>
          <w:rFonts w:ascii="Arial" w:hAnsi="Arial" w:cs="Arial"/>
        </w:rPr>
      </w:pPr>
    </w:p>
    <w:p w:rsidR="00D26654" w:rsidRDefault="00820FBC" w:rsidP="00220E83">
      <w:pPr>
        <w:jc w:val="both"/>
        <w:rPr>
          <w:rFonts w:ascii="Arial" w:hAnsi="Arial" w:cs="Arial"/>
          <w:b/>
          <w:sz w:val="24"/>
          <w:szCs w:val="24"/>
        </w:rPr>
      </w:pPr>
      <w:r>
        <w:rPr>
          <w:rFonts w:ascii="Arial" w:hAnsi="Arial" w:cs="Arial"/>
          <w:b/>
          <w:sz w:val="24"/>
          <w:szCs w:val="24"/>
        </w:rPr>
        <w:t>6</w:t>
      </w:r>
      <w:r w:rsidR="00440A21" w:rsidRPr="00A83FB2">
        <w:rPr>
          <w:rFonts w:ascii="Arial" w:hAnsi="Arial" w:cs="Arial"/>
          <w:b/>
          <w:sz w:val="24"/>
          <w:szCs w:val="24"/>
        </w:rPr>
        <w:t>.2</w:t>
      </w:r>
      <w:r w:rsidR="00D26654">
        <w:rPr>
          <w:rFonts w:ascii="Arial" w:hAnsi="Arial" w:cs="Arial"/>
          <w:b/>
          <w:sz w:val="24"/>
          <w:szCs w:val="24"/>
        </w:rPr>
        <w:t>.</w:t>
      </w:r>
      <w:r w:rsidR="00440A21" w:rsidRPr="00A83FB2">
        <w:rPr>
          <w:rFonts w:ascii="Arial" w:hAnsi="Arial" w:cs="Arial"/>
          <w:b/>
          <w:sz w:val="24"/>
          <w:szCs w:val="24"/>
        </w:rPr>
        <w:t xml:space="preserve"> Desigualtats </w:t>
      </w:r>
      <w:r w:rsidR="003D14EE">
        <w:rPr>
          <w:rFonts w:ascii="Arial" w:hAnsi="Arial" w:cs="Arial"/>
          <w:b/>
          <w:sz w:val="24"/>
          <w:szCs w:val="24"/>
        </w:rPr>
        <w:t xml:space="preserve">de </w:t>
      </w:r>
      <w:r w:rsidR="00440A21" w:rsidRPr="00A83FB2">
        <w:rPr>
          <w:rFonts w:ascii="Arial" w:hAnsi="Arial" w:cs="Arial"/>
          <w:b/>
          <w:sz w:val="24"/>
          <w:szCs w:val="24"/>
        </w:rPr>
        <w:t>renda</w:t>
      </w:r>
    </w:p>
    <w:p w:rsidR="00C60014" w:rsidRDefault="00C60014" w:rsidP="00220E83">
      <w:pPr>
        <w:jc w:val="both"/>
        <w:rPr>
          <w:rFonts w:ascii="Arial" w:hAnsi="Arial" w:cs="Arial"/>
        </w:rPr>
      </w:pPr>
      <w:r>
        <w:rPr>
          <w:rFonts w:ascii="Arial" w:hAnsi="Arial" w:cs="Arial"/>
        </w:rPr>
        <w:t>Tot i que no existeix un patró comú</w:t>
      </w:r>
      <w:r w:rsidR="00632B7E">
        <w:rPr>
          <w:rFonts w:ascii="Arial" w:hAnsi="Arial" w:cs="Arial"/>
        </w:rPr>
        <w:t xml:space="preserve"> en tots els països de la UE-2</w:t>
      </w:r>
      <w:r w:rsidR="001637F4">
        <w:rPr>
          <w:rFonts w:ascii="Arial" w:hAnsi="Arial" w:cs="Arial"/>
        </w:rPr>
        <w:t>8</w:t>
      </w:r>
      <w:r>
        <w:rPr>
          <w:rFonts w:ascii="Arial" w:hAnsi="Arial" w:cs="Arial"/>
        </w:rPr>
        <w:t xml:space="preserve"> entre creixement econòmic i </w:t>
      </w:r>
      <w:r w:rsidR="00632B7E">
        <w:rPr>
          <w:rFonts w:ascii="Arial" w:hAnsi="Arial" w:cs="Arial"/>
        </w:rPr>
        <w:t xml:space="preserve">l’evolució de les </w:t>
      </w:r>
      <w:r>
        <w:rPr>
          <w:rFonts w:ascii="Arial" w:hAnsi="Arial" w:cs="Arial"/>
        </w:rPr>
        <w:t>desigualtats, els augments de les desigualtats social</w:t>
      </w:r>
      <w:r w:rsidR="000F504C">
        <w:rPr>
          <w:rFonts w:ascii="Arial" w:hAnsi="Arial" w:cs="Arial"/>
        </w:rPr>
        <w:t>s</w:t>
      </w:r>
      <w:r>
        <w:rPr>
          <w:rFonts w:ascii="Arial" w:hAnsi="Arial" w:cs="Arial"/>
        </w:rPr>
        <w:t>, i de</w:t>
      </w:r>
      <w:r w:rsidR="004A1164">
        <w:rPr>
          <w:rFonts w:ascii="Arial" w:hAnsi="Arial" w:cs="Arial"/>
        </w:rPr>
        <w:t xml:space="preserve"> la desigualtat en</w:t>
      </w:r>
      <w:r>
        <w:rPr>
          <w:rFonts w:ascii="Arial" w:hAnsi="Arial" w:cs="Arial"/>
        </w:rPr>
        <w:t xml:space="preserve"> la distribució de la renda, </w:t>
      </w:r>
      <w:r w:rsidR="00C34042">
        <w:rPr>
          <w:rFonts w:ascii="Arial" w:hAnsi="Arial" w:cs="Arial"/>
        </w:rPr>
        <w:t xml:space="preserve">tenen una </w:t>
      </w:r>
      <w:r w:rsidR="004F310F">
        <w:rPr>
          <w:rFonts w:ascii="Arial" w:hAnsi="Arial" w:cs="Arial"/>
        </w:rPr>
        <w:t>més elevada</w:t>
      </w:r>
      <w:r w:rsidR="00C34042">
        <w:rPr>
          <w:rFonts w:ascii="Arial" w:hAnsi="Arial" w:cs="Arial"/>
        </w:rPr>
        <w:t xml:space="preserve"> afectació</w:t>
      </w:r>
      <w:r>
        <w:rPr>
          <w:rFonts w:ascii="Arial" w:hAnsi="Arial" w:cs="Arial"/>
        </w:rPr>
        <w:t xml:space="preserve"> quan es produeixen en un context de caiguda dels nivells de b</w:t>
      </w:r>
      <w:r w:rsidR="004A0C97">
        <w:rPr>
          <w:rFonts w:ascii="Arial" w:hAnsi="Arial" w:cs="Arial"/>
        </w:rPr>
        <w:t>enestar mitjans de la població.</w:t>
      </w:r>
    </w:p>
    <w:p w:rsidR="008B0976" w:rsidRDefault="00A1707E" w:rsidP="00220E83">
      <w:pPr>
        <w:jc w:val="both"/>
        <w:rPr>
          <w:rFonts w:ascii="Arial" w:hAnsi="Arial" w:cs="Arial"/>
        </w:rPr>
      </w:pPr>
      <w:r>
        <w:rPr>
          <w:rFonts w:ascii="Arial" w:hAnsi="Arial" w:cs="Arial"/>
        </w:rPr>
        <w:t>L</w:t>
      </w:r>
      <w:r w:rsidR="00566972">
        <w:rPr>
          <w:rFonts w:ascii="Arial" w:hAnsi="Arial" w:cs="Arial"/>
        </w:rPr>
        <w:t>a</w:t>
      </w:r>
      <w:r>
        <w:rPr>
          <w:rFonts w:ascii="Arial" w:hAnsi="Arial" w:cs="Arial"/>
        </w:rPr>
        <w:t xml:space="preserve"> respost</w:t>
      </w:r>
      <w:r w:rsidR="008D6EF9">
        <w:rPr>
          <w:rFonts w:ascii="Arial" w:hAnsi="Arial" w:cs="Arial"/>
        </w:rPr>
        <w:t>a</w:t>
      </w:r>
      <w:r w:rsidR="000F504C">
        <w:rPr>
          <w:rFonts w:ascii="Arial" w:hAnsi="Arial" w:cs="Arial"/>
        </w:rPr>
        <w:t xml:space="preserve"> </w:t>
      </w:r>
      <w:r w:rsidR="00B51C4E">
        <w:rPr>
          <w:rFonts w:ascii="Arial" w:hAnsi="Arial" w:cs="Arial"/>
        </w:rPr>
        <w:t>econòmi</w:t>
      </w:r>
      <w:r w:rsidR="008D6EF9">
        <w:rPr>
          <w:rFonts w:ascii="Arial" w:hAnsi="Arial" w:cs="Arial"/>
        </w:rPr>
        <w:t>ca</w:t>
      </w:r>
      <w:r w:rsidR="000F504C">
        <w:rPr>
          <w:rFonts w:ascii="Arial" w:hAnsi="Arial" w:cs="Arial"/>
        </w:rPr>
        <w:t xml:space="preserve"> </w:t>
      </w:r>
      <w:r w:rsidR="000957F6">
        <w:rPr>
          <w:rFonts w:ascii="Arial" w:hAnsi="Arial" w:cs="Arial"/>
        </w:rPr>
        <w:t>a l</w:t>
      </w:r>
      <w:r w:rsidR="00D83E2A">
        <w:rPr>
          <w:rFonts w:ascii="Arial" w:hAnsi="Arial" w:cs="Arial"/>
        </w:rPr>
        <w:t>’actual crisi</w:t>
      </w:r>
      <w:r w:rsidR="000F504C">
        <w:rPr>
          <w:rFonts w:ascii="Arial" w:hAnsi="Arial" w:cs="Arial"/>
        </w:rPr>
        <w:t xml:space="preserve"> </w:t>
      </w:r>
      <w:r w:rsidR="00632B7E">
        <w:rPr>
          <w:rFonts w:ascii="Arial" w:hAnsi="Arial" w:cs="Arial"/>
        </w:rPr>
        <w:t xml:space="preserve">està anant </w:t>
      </w:r>
      <w:r w:rsidR="008D6EF9">
        <w:rPr>
          <w:rFonts w:ascii="Arial" w:hAnsi="Arial" w:cs="Arial"/>
        </w:rPr>
        <w:t>acompanyada</w:t>
      </w:r>
      <w:r w:rsidR="000F504C">
        <w:rPr>
          <w:rFonts w:ascii="Arial" w:hAnsi="Arial" w:cs="Arial"/>
        </w:rPr>
        <w:t xml:space="preserve"> </w:t>
      </w:r>
      <w:r w:rsidR="006C41ED">
        <w:rPr>
          <w:rFonts w:ascii="Arial" w:hAnsi="Arial" w:cs="Arial"/>
        </w:rPr>
        <w:t>en el cas de Cat</w:t>
      </w:r>
      <w:r w:rsidR="00632B7E">
        <w:rPr>
          <w:rFonts w:ascii="Arial" w:hAnsi="Arial" w:cs="Arial"/>
        </w:rPr>
        <w:t>a</w:t>
      </w:r>
      <w:r w:rsidR="006C41ED">
        <w:rPr>
          <w:rFonts w:ascii="Arial" w:hAnsi="Arial" w:cs="Arial"/>
        </w:rPr>
        <w:t>l</w:t>
      </w:r>
      <w:r w:rsidR="00632B7E">
        <w:rPr>
          <w:rFonts w:ascii="Arial" w:hAnsi="Arial" w:cs="Arial"/>
        </w:rPr>
        <w:t>unya</w:t>
      </w:r>
      <w:r w:rsidR="0066252B">
        <w:rPr>
          <w:rFonts w:ascii="Arial" w:hAnsi="Arial" w:cs="Arial"/>
        </w:rPr>
        <w:t>,</w:t>
      </w:r>
      <w:r w:rsidR="00632B7E">
        <w:rPr>
          <w:rFonts w:ascii="Arial" w:hAnsi="Arial" w:cs="Arial"/>
        </w:rPr>
        <w:t xml:space="preserve"> i</w:t>
      </w:r>
      <w:r w:rsidR="0066252B">
        <w:rPr>
          <w:rFonts w:ascii="Arial" w:hAnsi="Arial" w:cs="Arial"/>
        </w:rPr>
        <w:t xml:space="preserve"> també</w:t>
      </w:r>
      <w:r w:rsidR="00632B7E">
        <w:rPr>
          <w:rFonts w:ascii="Arial" w:hAnsi="Arial" w:cs="Arial"/>
        </w:rPr>
        <w:t xml:space="preserve"> pel conjunt d’Espanya</w:t>
      </w:r>
      <w:r w:rsidR="0066252B">
        <w:rPr>
          <w:rFonts w:ascii="Arial" w:hAnsi="Arial" w:cs="Arial"/>
        </w:rPr>
        <w:t>,</w:t>
      </w:r>
      <w:r w:rsidR="000F504C">
        <w:rPr>
          <w:rFonts w:ascii="Arial" w:hAnsi="Arial" w:cs="Arial"/>
        </w:rPr>
        <w:t xml:space="preserve"> </w:t>
      </w:r>
      <w:r w:rsidR="00E00089">
        <w:rPr>
          <w:rFonts w:ascii="Arial" w:hAnsi="Arial" w:cs="Arial"/>
        </w:rPr>
        <w:t>d’un augment de les desigualtats</w:t>
      </w:r>
      <w:r w:rsidR="00632B7E">
        <w:rPr>
          <w:rFonts w:ascii="Arial" w:hAnsi="Arial" w:cs="Arial"/>
        </w:rPr>
        <w:t>.</w:t>
      </w:r>
      <w:r w:rsidR="000F504C">
        <w:rPr>
          <w:rFonts w:ascii="Arial" w:hAnsi="Arial" w:cs="Arial"/>
        </w:rPr>
        <w:t xml:space="preserve"> </w:t>
      </w:r>
      <w:r w:rsidR="006C41ED">
        <w:rPr>
          <w:rFonts w:ascii="Arial" w:hAnsi="Arial" w:cs="Arial"/>
        </w:rPr>
        <w:t>Catalunya</w:t>
      </w:r>
      <w:r w:rsidR="000F504C">
        <w:rPr>
          <w:rFonts w:ascii="Arial" w:hAnsi="Arial" w:cs="Arial"/>
        </w:rPr>
        <w:t>,</w:t>
      </w:r>
      <w:r w:rsidR="006C41ED">
        <w:rPr>
          <w:rFonts w:ascii="Arial" w:hAnsi="Arial" w:cs="Arial"/>
        </w:rPr>
        <w:t xml:space="preserve"> </w:t>
      </w:r>
      <w:r w:rsidR="005E23E4">
        <w:rPr>
          <w:rFonts w:ascii="Arial" w:hAnsi="Arial" w:cs="Arial"/>
        </w:rPr>
        <w:t xml:space="preserve">amb </w:t>
      </w:r>
      <w:r w:rsidR="006C41ED">
        <w:rPr>
          <w:rFonts w:ascii="Arial" w:hAnsi="Arial" w:cs="Arial"/>
        </w:rPr>
        <w:t>uns nivells de desigualtats e</w:t>
      </w:r>
      <w:r w:rsidR="00D83E2A">
        <w:rPr>
          <w:rFonts w:ascii="Arial" w:hAnsi="Arial" w:cs="Arial"/>
        </w:rPr>
        <w:t>n els anys previs a la crisi</w:t>
      </w:r>
      <w:r w:rsidR="006C41ED">
        <w:rPr>
          <w:rFonts w:ascii="Arial" w:hAnsi="Arial" w:cs="Arial"/>
        </w:rPr>
        <w:t xml:space="preserve"> (2004-2007) inferiors als de la mitjana dels pa</w:t>
      </w:r>
      <w:r w:rsidR="008B0976">
        <w:rPr>
          <w:rFonts w:ascii="Arial" w:hAnsi="Arial" w:cs="Arial"/>
        </w:rPr>
        <w:t>ï</w:t>
      </w:r>
      <w:r w:rsidR="006C41ED">
        <w:rPr>
          <w:rFonts w:ascii="Arial" w:hAnsi="Arial" w:cs="Arial"/>
        </w:rPr>
        <w:t>sos de la UE-2</w:t>
      </w:r>
      <w:r w:rsidR="000E3082">
        <w:rPr>
          <w:rFonts w:ascii="Arial" w:hAnsi="Arial" w:cs="Arial"/>
        </w:rPr>
        <w:t>8</w:t>
      </w:r>
      <w:r w:rsidR="000F504C">
        <w:rPr>
          <w:rFonts w:ascii="Arial" w:hAnsi="Arial" w:cs="Arial"/>
        </w:rPr>
        <w:t>,</w:t>
      </w:r>
      <w:r w:rsidR="006C41ED">
        <w:rPr>
          <w:rFonts w:ascii="Arial" w:hAnsi="Arial" w:cs="Arial"/>
        </w:rPr>
        <w:t xml:space="preserve"> ha passat a situar-se ja l’any 201</w:t>
      </w:r>
      <w:r w:rsidR="000E3082">
        <w:rPr>
          <w:rFonts w:ascii="Arial" w:hAnsi="Arial" w:cs="Arial"/>
        </w:rPr>
        <w:t>3</w:t>
      </w:r>
      <w:r w:rsidR="006C41ED">
        <w:rPr>
          <w:rFonts w:ascii="Arial" w:hAnsi="Arial" w:cs="Arial"/>
        </w:rPr>
        <w:t xml:space="preserve"> per sobre</w:t>
      </w:r>
      <w:r w:rsidR="008B0976">
        <w:rPr>
          <w:rFonts w:ascii="Arial" w:hAnsi="Arial" w:cs="Arial"/>
        </w:rPr>
        <w:t>,</w:t>
      </w:r>
      <w:r w:rsidR="006C41ED">
        <w:rPr>
          <w:rFonts w:ascii="Arial" w:hAnsi="Arial" w:cs="Arial"/>
        </w:rPr>
        <w:t xml:space="preserve"> mentre que Espanya, </w:t>
      </w:r>
      <w:r w:rsidR="005E23E4">
        <w:rPr>
          <w:rFonts w:ascii="Arial" w:hAnsi="Arial" w:cs="Arial"/>
        </w:rPr>
        <w:t xml:space="preserve">es manté </w:t>
      </w:r>
      <w:r w:rsidR="008B0976">
        <w:rPr>
          <w:rFonts w:ascii="Arial" w:hAnsi="Arial" w:cs="Arial"/>
        </w:rPr>
        <w:t>entre els països de la UE-2</w:t>
      </w:r>
      <w:r w:rsidR="000E3082">
        <w:rPr>
          <w:rFonts w:ascii="Arial" w:hAnsi="Arial" w:cs="Arial"/>
        </w:rPr>
        <w:t>8</w:t>
      </w:r>
      <w:r w:rsidR="008B0976">
        <w:rPr>
          <w:rFonts w:ascii="Arial" w:hAnsi="Arial" w:cs="Arial"/>
        </w:rPr>
        <w:t xml:space="preserve"> amb nivells de desigualtats</w:t>
      </w:r>
      <w:r w:rsidR="004F310F">
        <w:rPr>
          <w:rFonts w:ascii="Arial" w:hAnsi="Arial" w:cs="Arial"/>
        </w:rPr>
        <w:t xml:space="preserve"> més grans</w:t>
      </w:r>
      <w:r w:rsidR="001637F4">
        <w:rPr>
          <w:rFonts w:ascii="Arial" w:hAnsi="Arial" w:cs="Arial"/>
        </w:rPr>
        <w:t>,</w:t>
      </w:r>
      <w:r w:rsidR="000E3082">
        <w:rPr>
          <w:rFonts w:ascii="Arial" w:hAnsi="Arial" w:cs="Arial"/>
        </w:rPr>
        <w:t xml:space="preserve"> augmentant la seva distància </w:t>
      </w:r>
      <w:r w:rsidR="00EE1D8A">
        <w:rPr>
          <w:rFonts w:ascii="Arial" w:hAnsi="Arial" w:cs="Arial"/>
        </w:rPr>
        <w:t>respecte de la mitjana de la UE</w:t>
      </w:r>
      <w:r w:rsidR="00EE1D8A">
        <w:rPr>
          <w:rFonts w:ascii="Arial" w:hAnsi="Arial" w:cs="Arial"/>
        </w:rPr>
        <w:noBreakHyphen/>
      </w:r>
      <w:r w:rsidR="000E3082">
        <w:rPr>
          <w:rFonts w:ascii="Arial" w:hAnsi="Arial" w:cs="Arial"/>
        </w:rPr>
        <w:t>28</w:t>
      </w:r>
      <w:r w:rsidR="008B0976">
        <w:rPr>
          <w:rFonts w:ascii="Arial" w:hAnsi="Arial" w:cs="Arial"/>
        </w:rPr>
        <w:t>.</w:t>
      </w:r>
    </w:p>
    <w:p w:rsidR="00376820" w:rsidRDefault="008B0976" w:rsidP="0071260F">
      <w:pPr>
        <w:jc w:val="both"/>
        <w:rPr>
          <w:rFonts w:ascii="Arial" w:hAnsi="Arial" w:cs="Arial"/>
        </w:rPr>
      </w:pPr>
      <w:r>
        <w:rPr>
          <w:rFonts w:ascii="Arial" w:hAnsi="Arial" w:cs="Arial"/>
        </w:rPr>
        <w:t>L</w:t>
      </w:r>
      <w:r w:rsidR="00E33B66">
        <w:rPr>
          <w:rFonts w:ascii="Arial" w:hAnsi="Arial" w:cs="Arial"/>
        </w:rPr>
        <w:t xml:space="preserve">’Enquesta de Condicions de Vida (ECV) de l’INE permet comparacions a nivell </w:t>
      </w:r>
      <w:r w:rsidR="006C41ED">
        <w:rPr>
          <w:rFonts w:ascii="Arial" w:hAnsi="Arial" w:cs="Arial"/>
        </w:rPr>
        <w:t>e</w:t>
      </w:r>
      <w:r w:rsidR="00E33B66">
        <w:rPr>
          <w:rFonts w:ascii="Arial" w:hAnsi="Arial" w:cs="Arial"/>
        </w:rPr>
        <w:t>uropeu</w:t>
      </w:r>
      <w:r>
        <w:rPr>
          <w:rFonts w:ascii="Arial" w:hAnsi="Arial" w:cs="Arial"/>
        </w:rPr>
        <w:t xml:space="preserve"> de l’evolució de la distribució de la renda disponible de les llars</w:t>
      </w:r>
      <w:r w:rsidR="00376820">
        <w:rPr>
          <w:rFonts w:ascii="Arial" w:hAnsi="Arial" w:cs="Arial"/>
        </w:rPr>
        <w:t xml:space="preserve"> per persona “homogènia”</w:t>
      </w:r>
      <w:r w:rsidR="000B031D">
        <w:rPr>
          <w:rFonts w:ascii="Arial" w:hAnsi="Arial" w:cs="Arial"/>
        </w:rPr>
        <w:t xml:space="preserve">, a partir de les dades de distribució de la </w:t>
      </w:r>
      <w:r w:rsidR="0071260F">
        <w:rPr>
          <w:rFonts w:ascii="Arial" w:hAnsi="Arial" w:cs="Arial"/>
        </w:rPr>
        <w:t>Renda equivalent neta (o Renda neta per unitat de consum)</w:t>
      </w:r>
      <w:r w:rsidR="0071260F">
        <w:rPr>
          <w:rStyle w:val="Refdenotaalpie"/>
          <w:rFonts w:ascii="Arial" w:hAnsi="Arial" w:cs="Arial"/>
          <w:b/>
        </w:rPr>
        <w:footnoteReference w:id="7"/>
      </w:r>
      <w:r w:rsidR="00376820">
        <w:rPr>
          <w:rFonts w:ascii="Arial" w:hAnsi="Arial" w:cs="Arial"/>
        </w:rPr>
        <w:t>.</w:t>
      </w:r>
    </w:p>
    <w:p w:rsidR="00C22918" w:rsidRDefault="00C22918" w:rsidP="0071260F">
      <w:pPr>
        <w:jc w:val="both"/>
        <w:rPr>
          <w:rFonts w:ascii="Arial" w:hAnsi="Arial" w:cs="Arial"/>
        </w:rPr>
      </w:pPr>
      <w:r>
        <w:rPr>
          <w:rFonts w:ascii="Arial" w:hAnsi="Arial" w:cs="Arial"/>
        </w:rPr>
        <w:lastRenderedPageBreak/>
        <w:t>Com ja s’ha indicat en l’apart precedent, l’evolució de la capacitat adquisitiva de a renda de les llars catalanes i espanyoles està patint en els anys de crisi un retrocés més acusat que en el conjunt dels països de la UE-28.</w:t>
      </w:r>
    </w:p>
    <w:p w:rsidR="00B2349F" w:rsidRDefault="00C22918" w:rsidP="0071260F">
      <w:pPr>
        <w:jc w:val="both"/>
        <w:rPr>
          <w:rFonts w:ascii="Arial" w:hAnsi="Arial" w:cs="Arial"/>
        </w:rPr>
      </w:pPr>
      <w:r>
        <w:rPr>
          <w:rFonts w:ascii="Arial" w:hAnsi="Arial" w:cs="Arial"/>
        </w:rPr>
        <w:t xml:space="preserve">La </w:t>
      </w:r>
      <w:r w:rsidR="00D659C0">
        <w:rPr>
          <w:rFonts w:ascii="Arial" w:hAnsi="Arial" w:cs="Arial"/>
        </w:rPr>
        <w:t>capacitat adquisitiva de la renda disponible neta equivalent</w:t>
      </w:r>
      <w:r w:rsidR="000F504C">
        <w:rPr>
          <w:rFonts w:ascii="Arial" w:hAnsi="Arial" w:cs="Arial"/>
        </w:rPr>
        <w:t xml:space="preserve"> </w:t>
      </w:r>
      <w:r w:rsidR="00D659C0">
        <w:rPr>
          <w:rFonts w:ascii="Arial" w:hAnsi="Arial" w:cs="Arial"/>
        </w:rPr>
        <w:t>en els anys</w:t>
      </w:r>
      <w:r w:rsidR="00A17B60">
        <w:rPr>
          <w:rFonts w:ascii="Arial" w:hAnsi="Arial" w:cs="Arial"/>
        </w:rPr>
        <w:t xml:space="preserve"> immediatamen</w:t>
      </w:r>
      <w:r w:rsidR="00D83E2A">
        <w:rPr>
          <w:rFonts w:ascii="Arial" w:hAnsi="Arial" w:cs="Arial"/>
        </w:rPr>
        <w:t>t previs a l’esclat de la crisi</w:t>
      </w:r>
      <w:r w:rsidR="000F504C">
        <w:rPr>
          <w:rFonts w:ascii="Arial" w:hAnsi="Arial" w:cs="Arial"/>
        </w:rPr>
        <w:t xml:space="preserve"> </w:t>
      </w:r>
      <w:r w:rsidR="00C34042">
        <w:rPr>
          <w:rFonts w:ascii="Arial" w:hAnsi="Arial" w:cs="Arial"/>
        </w:rPr>
        <w:t xml:space="preserve">(2004-2007) </w:t>
      </w:r>
      <w:r w:rsidR="00A17B60">
        <w:rPr>
          <w:rFonts w:ascii="Arial" w:hAnsi="Arial" w:cs="Arial"/>
        </w:rPr>
        <w:t>estava</w:t>
      </w:r>
      <w:r w:rsidR="00D659C0">
        <w:rPr>
          <w:rFonts w:ascii="Arial" w:hAnsi="Arial" w:cs="Arial"/>
        </w:rPr>
        <w:t xml:space="preserve"> creixent al 2,5% anual acumulatiu en termes mitjans dels p</w:t>
      </w:r>
      <w:r w:rsidR="00A17B60">
        <w:rPr>
          <w:rFonts w:ascii="Arial" w:hAnsi="Arial" w:cs="Arial"/>
        </w:rPr>
        <w:t>aï</w:t>
      </w:r>
      <w:r w:rsidR="00D659C0">
        <w:rPr>
          <w:rFonts w:ascii="Arial" w:hAnsi="Arial" w:cs="Arial"/>
        </w:rPr>
        <w:t>sos de la UE-2</w:t>
      </w:r>
      <w:r>
        <w:rPr>
          <w:rFonts w:ascii="Arial" w:hAnsi="Arial" w:cs="Arial"/>
        </w:rPr>
        <w:t>8</w:t>
      </w:r>
      <w:r w:rsidR="00A17B60">
        <w:rPr>
          <w:rFonts w:ascii="Arial" w:hAnsi="Arial" w:cs="Arial"/>
        </w:rPr>
        <w:t xml:space="preserve">. </w:t>
      </w:r>
      <w:r w:rsidR="00020323">
        <w:rPr>
          <w:rFonts w:ascii="Arial" w:hAnsi="Arial" w:cs="Arial"/>
        </w:rPr>
        <w:t xml:space="preserve">A </w:t>
      </w:r>
      <w:r w:rsidR="00D659C0">
        <w:rPr>
          <w:rFonts w:ascii="Arial" w:hAnsi="Arial" w:cs="Arial"/>
        </w:rPr>
        <w:t>Catalunya</w:t>
      </w:r>
      <w:r w:rsidR="004B04C1">
        <w:rPr>
          <w:rFonts w:ascii="Arial" w:hAnsi="Arial" w:cs="Arial"/>
        </w:rPr>
        <w:t xml:space="preserve"> i Espanya</w:t>
      </w:r>
      <w:r w:rsidR="003A69BF">
        <w:rPr>
          <w:rFonts w:ascii="Arial" w:hAnsi="Arial" w:cs="Arial"/>
        </w:rPr>
        <w:t>,</w:t>
      </w:r>
      <w:r w:rsidR="000F504C">
        <w:rPr>
          <w:rFonts w:ascii="Arial" w:hAnsi="Arial" w:cs="Arial"/>
        </w:rPr>
        <w:t xml:space="preserve"> </w:t>
      </w:r>
      <w:r w:rsidR="008F3367">
        <w:rPr>
          <w:rFonts w:ascii="Arial" w:hAnsi="Arial" w:cs="Arial"/>
        </w:rPr>
        <w:t xml:space="preserve">la capacitat adquisitiva de la renda de les famílies </w:t>
      </w:r>
      <w:r>
        <w:rPr>
          <w:rFonts w:ascii="Arial" w:hAnsi="Arial" w:cs="Arial"/>
        </w:rPr>
        <w:t xml:space="preserve">també augmentava, </w:t>
      </w:r>
      <w:r w:rsidR="00D659C0">
        <w:rPr>
          <w:rFonts w:ascii="Arial" w:hAnsi="Arial" w:cs="Arial"/>
        </w:rPr>
        <w:t>a un ritme</w:t>
      </w:r>
      <w:r w:rsidR="004B04C1">
        <w:rPr>
          <w:rFonts w:ascii="Arial" w:hAnsi="Arial" w:cs="Arial"/>
        </w:rPr>
        <w:t xml:space="preserve"> anual acumulatiu </w:t>
      </w:r>
      <w:r w:rsidR="00D659C0">
        <w:rPr>
          <w:rFonts w:ascii="Arial" w:hAnsi="Arial" w:cs="Arial"/>
        </w:rPr>
        <w:t>de</w:t>
      </w:r>
      <w:r w:rsidR="000F504C">
        <w:rPr>
          <w:rFonts w:ascii="Arial" w:hAnsi="Arial" w:cs="Arial"/>
        </w:rPr>
        <w:t xml:space="preserve"> </w:t>
      </w:r>
      <w:r w:rsidR="00D659C0">
        <w:rPr>
          <w:rFonts w:ascii="Arial" w:hAnsi="Arial" w:cs="Arial"/>
        </w:rPr>
        <w:t>l</w:t>
      </w:r>
      <w:r w:rsidR="004B04C1">
        <w:rPr>
          <w:rFonts w:ascii="Arial" w:hAnsi="Arial" w:cs="Arial"/>
        </w:rPr>
        <w:t>’1</w:t>
      </w:r>
      <w:r w:rsidR="00D659C0">
        <w:rPr>
          <w:rFonts w:ascii="Arial" w:hAnsi="Arial" w:cs="Arial"/>
        </w:rPr>
        <w:t>,9%</w:t>
      </w:r>
      <w:r w:rsidR="004B04C1">
        <w:rPr>
          <w:rFonts w:ascii="Arial" w:hAnsi="Arial" w:cs="Arial"/>
        </w:rPr>
        <w:t xml:space="preserve"> i el 2,5%, respectivament.</w:t>
      </w:r>
      <w:r w:rsidR="000F504C">
        <w:rPr>
          <w:rFonts w:ascii="Arial" w:hAnsi="Arial" w:cs="Arial"/>
        </w:rPr>
        <w:t xml:space="preserve"> </w:t>
      </w:r>
      <w:r w:rsidR="004B04C1">
        <w:rPr>
          <w:rFonts w:ascii="Arial" w:hAnsi="Arial" w:cs="Arial"/>
        </w:rPr>
        <w:t>L</w:t>
      </w:r>
      <w:r w:rsidR="008F3367">
        <w:rPr>
          <w:rFonts w:ascii="Arial" w:hAnsi="Arial" w:cs="Arial"/>
        </w:rPr>
        <w:t xml:space="preserve">’impacte de la crisi, si bé es deixa sentir en </w:t>
      </w:r>
      <w:r w:rsidR="000554C4">
        <w:rPr>
          <w:rFonts w:ascii="Arial" w:hAnsi="Arial" w:cs="Arial"/>
        </w:rPr>
        <w:t>la majoria d’economies de la UE-2</w:t>
      </w:r>
      <w:r w:rsidR="001637F4">
        <w:rPr>
          <w:rFonts w:ascii="Arial" w:hAnsi="Arial" w:cs="Arial"/>
        </w:rPr>
        <w:t>8</w:t>
      </w:r>
      <w:r w:rsidR="004B04C1">
        <w:rPr>
          <w:rFonts w:ascii="Arial" w:hAnsi="Arial" w:cs="Arial"/>
        </w:rPr>
        <w:t>,</w:t>
      </w:r>
      <w:r w:rsidR="000554C4">
        <w:rPr>
          <w:rFonts w:ascii="Arial" w:hAnsi="Arial" w:cs="Arial"/>
        </w:rPr>
        <w:t xml:space="preserve"> ho fa d’una manera més intensa a Lituània, Letònia, </w:t>
      </w:r>
      <w:r w:rsidR="001B53A6">
        <w:rPr>
          <w:rFonts w:ascii="Arial" w:hAnsi="Arial" w:cs="Arial"/>
        </w:rPr>
        <w:t xml:space="preserve">Romania, </w:t>
      </w:r>
      <w:r w:rsidR="000554C4">
        <w:rPr>
          <w:rFonts w:ascii="Arial" w:hAnsi="Arial" w:cs="Arial"/>
        </w:rPr>
        <w:t>Grècia, Irlanda, el Regne Unit,</w:t>
      </w:r>
      <w:r w:rsidR="00117AED">
        <w:rPr>
          <w:rFonts w:ascii="Arial" w:hAnsi="Arial" w:cs="Arial"/>
        </w:rPr>
        <w:t xml:space="preserve"> Portugal, Ho</w:t>
      </w:r>
      <w:r w:rsidR="00C34042">
        <w:rPr>
          <w:rFonts w:ascii="Arial" w:hAnsi="Arial" w:cs="Arial"/>
        </w:rPr>
        <w:t>ngria,</w:t>
      </w:r>
      <w:r w:rsidR="000554C4">
        <w:rPr>
          <w:rFonts w:ascii="Arial" w:hAnsi="Arial" w:cs="Arial"/>
        </w:rPr>
        <w:t xml:space="preserve"> Espanya i Catalunya, totes elles amb importants caigudes de la </w:t>
      </w:r>
      <w:r w:rsidR="00020323">
        <w:rPr>
          <w:rFonts w:ascii="Arial" w:hAnsi="Arial" w:cs="Arial"/>
        </w:rPr>
        <w:t xml:space="preserve">capacitat adquisitiva de la </w:t>
      </w:r>
      <w:r w:rsidR="000554C4">
        <w:rPr>
          <w:rFonts w:ascii="Arial" w:hAnsi="Arial" w:cs="Arial"/>
        </w:rPr>
        <w:t xml:space="preserve">renda disponible de les </w:t>
      </w:r>
      <w:r w:rsidR="00020323">
        <w:rPr>
          <w:rFonts w:ascii="Arial" w:hAnsi="Arial" w:cs="Arial"/>
        </w:rPr>
        <w:t>famílies</w:t>
      </w:r>
      <w:r w:rsidR="001B53A6">
        <w:rPr>
          <w:rFonts w:ascii="Arial" w:hAnsi="Arial" w:cs="Arial"/>
        </w:rPr>
        <w:t xml:space="preserve"> –que més que dupliquen la caiguda mitjana de la UE-28</w:t>
      </w:r>
      <w:r w:rsidR="004B04C1">
        <w:rPr>
          <w:rFonts w:ascii="Arial" w:hAnsi="Arial" w:cs="Arial"/>
        </w:rPr>
        <w:t>-</w:t>
      </w:r>
      <w:r w:rsidR="00020323">
        <w:rPr>
          <w:rFonts w:ascii="Arial" w:hAnsi="Arial" w:cs="Arial"/>
        </w:rPr>
        <w:t>. En el cas de Catalunya</w:t>
      </w:r>
      <w:r w:rsidR="003A69BF">
        <w:rPr>
          <w:rFonts w:ascii="Arial" w:hAnsi="Arial" w:cs="Arial"/>
        </w:rPr>
        <w:t>,</w:t>
      </w:r>
      <w:r w:rsidR="00020323">
        <w:rPr>
          <w:rFonts w:ascii="Arial" w:hAnsi="Arial" w:cs="Arial"/>
        </w:rPr>
        <w:t xml:space="preserve"> la caiguda acumulada entre el 2007 i el 201</w:t>
      </w:r>
      <w:r w:rsidR="001637F4">
        <w:rPr>
          <w:rFonts w:ascii="Arial" w:hAnsi="Arial" w:cs="Arial"/>
        </w:rPr>
        <w:t>3</w:t>
      </w:r>
      <w:r w:rsidR="00020323">
        <w:rPr>
          <w:rFonts w:ascii="Arial" w:hAnsi="Arial" w:cs="Arial"/>
        </w:rPr>
        <w:t xml:space="preserve"> és del -1</w:t>
      </w:r>
      <w:r w:rsidR="001637F4">
        <w:rPr>
          <w:rFonts w:ascii="Arial" w:hAnsi="Arial" w:cs="Arial"/>
        </w:rPr>
        <w:t>8</w:t>
      </w:r>
      <w:r w:rsidR="00020323">
        <w:rPr>
          <w:rFonts w:ascii="Arial" w:hAnsi="Arial" w:cs="Arial"/>
        </w:rPr>
        <w:t>,</w:t>
      </w:r>
      <w:r w:rsidR="001637F4">
        <w:rPr>
          <w:rFonts w:ascii="Arial" w:hAnsi="Arial" w:cs="Arial"/>
        </w:rPr>
        <w:t>0</w:t>
      </w:r>
      <w:r w:rsidR="00020323">
        <w:rPr>
          <w:rFonts w:ascii="Arial" w:hAnsi="Arial" w:cs="Arial"/>
        </w:rPr>
        <w:t>%</w:t>
      </w:r>
      <w:r w:rsidR="004F7BCA">
        <w:rPr>
          <w:rFonts w:ascii="Arial" w:hAnsi="Arial" w:cs="Arial"/>
        </w:rPr>
        <w:t>,</w:t>
      </w:r>
      <w:r w:rsidR="00020323">
        <w:rPr>
          <w:rFonts w:ascii="Arial" w:hAnsi="Arial" w:cs="Arial"/>
        </w:rPr>
        <w:t xml:space="preserve"> i en el cas d’Espanya la caiguda acumulada és del -1</w:t>
      </w:r>
      <w:r w:rsidR="001637F4">
        <w:rPr>
          <w:rFonts w:ascii="Arial" w:hAnsi="Arial" w:cs="Arial"/>
        </w:rPr>
        <w:t>6</w:t>
      </w:r>
      <w:r w:rsidR="00020323">
        <w:rPr>
          <w:rFonts w:ascii="Arial" w:hAnsi="Arial" w:cs="Arial"/>
        </w:rPr>
        <w:t>,</w:t>
      </w:r>
      <w:r w:rsidR="001637F4">
        <w:rPr>
          <w:rFonts w:ascii="Arial" w:hAnsi="Arial" w:cs="Arial"/>
        </w:rPr>
        <w:t>3</w:t>
      </w:r>
      <w:r w:rsidR="00020323">
        <w:rPr>
          <w:rFonts w:ascii="Arial" w:hAnsi="Arial" w:cs="Arial"/>
        </w:rPr>
        <w:t>%. Mentre que pel conjunt de pa</w:t>
      </w:r>
      <w:r w:rsidR="00BD1B62">
        <w:rPr>
          <w:rFonts w:ascii="Arial" w:hAnsi="Arial" w:cs="Arial"/>
        </w:rPr>
        <w:t>ï</w:t>
      </w:r>
      <w:r w:rsidR="00020323">
        <w:rPr>
          <w:rFonts w:ascii="Arial" w:hAnsi="Arial" w:cs="Arial"/>
        </w:rPr>
        <w:t>sos de la UE-2</w:t>
      </w:r>
      <w:r w:rsidR="001637F4">
        <w:rPr>
          <w:rFonts w:ascii="Arial" w:hAnsi="Arial" w:cs="Arial"/>
        </w:rPr>
        <w:t>8</w:t>
      </w:r>
      <w:r w:rsidR="000F504C">
        <w:rPr>
          <w:rFonts w:ascii="Arial" w:hAnsi="Arial" w:cs="Arial"/>
        </w:rPr>
        <w:t xml:space="preserve"> </w:t>
      </w:r>
      <w:r w:rsidR="001B53A6">
        <w:rPr>
          <w:rFonts w:ascii="Arial" w:hAnsi="Arial" w:cs="Arial"/>
        </w:rPr>
        <w:t>-</w:t>
      </w:r>
      <w:r w:rsidR="00020323">
        <w:rPr>
          <w:rFonts w:ascii="Arial" w:hAnsi="Arial" w:cs="Arial"/>
        </w:rPr>
        <w:t>entre el 2007 i el 201</w:t>
      </w:r>
      <w:r w:rsidR="001637F4">
        <w:rPr>
          <w:rFonts w:ascii="Arial" w:hAnsi="Arial" w:cs="Arial"/>
        </w:rPr>
        <w:t>2</w:t>
      </w:r>
      <w:r w:rsidR="001B53A6">
        <w:rPr>
          <w:rFonts w:ascii="Arial" w:hAnsi="Arial" w:cs="Arial"/>
        </w:rPr>
        <w:t>-</w:t>
      </w:r>
      <w:r w:rsidR="000F504C">
        <w:rPr>
          <w:rFonts w:ascii="Arial" w:hAnsi="Arial" w:cs="Arial"/>
        </w:rPr>
        <w:t xml:space="preserve"> </w:t>
      </w:r>
      <w:r w:rsidR="001B53A6">
        <w:rPr>
          <w:rFonts w:ascii="Arial" w:hAnsi="Arial" w:cs="Arial"/>
        </w:rPr>
        <w:t>l</w:t>
      </w:r>
      <w:r w:rsidR="00020323">
        <w:rPr>
          <w:rFonts w:ascii="Arial" w:hAnsi="Arial" w:cs="Arial"/>
        </w:rPr>
        <w:t>a caiguda</w:t>
      </w:r>
      <w:r w:rsidR="001B53A6">
        <w:rPr>
          <w:rFonts w:ascii="Arial" w:hAnsi="Arial" w:cs="Arial"/>
        </w:rPr>
        <w:t xml:space="preserve"> acumulada mitjana és</w:t>
      </w:r>
      <w:r w:rsidR="00020323">
        <w:rPr>
          <w:rFonts w:ascii="Arial" w:hAnsi="Arial" w:cs="Arial"/>
        </w:rPr>
        <w:t xml:space="preserve"> del</w:t>
      </w:r>
      <w:r w:rsidR="00EE1D8A">
        <w:rPr>
          <w:rFonts w:ascii="Arial" w:hAnsi="Arial" w:cs="Arial"/>
        </w:rPr>
        <w:t xml:space="preserve"> </w:t>
      </w:r>
      <w:r w:rsidR="00EE1D8A">
        <w:rPr>
          <w:rFonts w:ascii="Arial" w:hAnsi="Arial" w:cs="Arial"/>
        </w:rPr>
        <w:noBreakHyphen/>
      </w:r>
      <w:r w:rsidR="001637F4">
        <w:rPr>
          <w:rFonts w:ascii="Arial" w:hAnsi="Arial" w:cs="Arial"/>
        </w:rPr>
        <w:t>6</w:t>
      </w:r>
      <w:r w:rsidR="00020323">
        <w:rPr>
          <w:rFonts w:ascii="Arial" w:hAnsi="Arial" w:cs="Arial"/>
        </w:rPr>
        <w:t>,</w:t>
      </w:r>
      <w:r w:rsidR="001637F4">
        <w:rPr>
          <w:rFonts w:ascii="Arial" w:hAnsi="Arial" w:cs="Arial"/>
        </w:rPr>
        <w:t>2</w:t>
      </w:r>
      <w:r w:rsidR="00020323">
        <w:rPr>
          <w:rFonts w:ascii="Arial" w:hAnsi="Arial" w:cs="Arial"/>
        </w:rPr>
        <w:t>%</w:t>
      </w:r>
      <w:r w:rsidR="00F22A6E">
        <w:rPr>
          <w:rFonts w:ascii="Arial" w:hAnsi="Arial" w:cs="Arial"/>
        </w:rPr>
        <w:t>.</w:t>
      </w:r>
    </w:p>
    <w:p w:rsidR="00AD7993" w:rsidRPr="00007822" w:rsidRDefault="00AD7993" w:rsidP="00AD7993">
      <w:pPr>
        <w:spacing w:after="0"/>
        <w:rPr>
          <w:rFonts w:ascii="Arial" w:hAnsi="Arial" w:cs="Arial"/>
          <w:b/>
          <w:sz w:val="20"/>
          <w:szCs w:val="20"/>
        </w:rPr>
      </w:pPr>
      <w:bookmarkStart w:id="20" w:name="OLE_LINK43"/>
      <w:r w:rsidRPr="00F53289">
        <w:rPr>
          <w:rFonts w:ascii="Arial" w:hAnsi="Arial" w:cs="Arial"/>
          <w:b/>
          <w:sz w:val="20"/>
          <w:szCs w:val="20"/>
        </w:rPr>
        <w:t>Evolució de renda mitjana equivalent o per unitat de consum a euros constant</w:t>
      </w:r>
      <w:r>
        <w:rPr>
          <w:rFonts w:ascii="Arial" w:hAnsi="Arial" w:cs="Arial"/>
          <w:b/>
          <w:sz w:val="20"/>
          <w:szCs w:val="20"/>
        </w:rPr>
        <w:t>s</w:t>
      </w:r>
      <w:r w:rsidR="00694554">
        <w:rPr>
          <w:rFonts w:ascii="Arial" w:hAnsi="Arial" w:cs="Arial"/>
          <w:b/>
          <w:sz w:val="20"/>
          <w:szCs w:val="20"/>
        </w:rPr>
        <w:t xml:space="preserve"> </w:t>
      </w:r>
      <w:r w:rsidRPr="00F53289">
        <w:rPr>
          <w:rFonts w:ascii="Arial" w:hAnsi="Arial" w:cs="Arial"/>
          <w:b/>
          <w:sz w:val="20"/>
          <w:szCs w:val="20"/>
        </w:rPr>
        <w:t>del 20</w:t>
      </w:r>
      <w:r>
        <w:rPr>
          <w:rFonts w:ascii="Arial" w:hAnsi="Arial" w:cs="Arial"/>
          <w:b/>
          <w:sz w:val="20"/>
          <w:szCs w:val="20"/>
        </w:rPr>
        <w:t>10</w:t>
      </w:r>
      <w:r w:rsidRPr="00F53289">
        <w:rPr>
          <w:rFonts w:ascii="Arial" w:hAnsi="Arial" w:cs="Arial"/>
          <w:b/>
          <w:sz w:val="20"/>
          <w:szCs w:val="20"/>
        </w:rPr>
        <w:t>. 200</w:t>
      </w:r>
      <w:r w:rsidR="00694554">
        <w:rPr>
          <w:rFonts w:ascii="Arial" w:hAnsi="Arial" w:cs="Arial"/>
          <w:b/>
          <w:sz w:val="20"/>
          <w:szCs w:val="20"/>
        </w:rPr>
        <w:t>4</w:t>
      </w:r>
      <w:r w:rsidRPr="00F53289">
        <w:rPr>
          <w:rFonts w:ascii="Arial" w:hAnsi="Arial" w:cs="Arial"/>
          <w:b/>
          <w:sz w:val="20"/>
          <w:szCs w:val="20"/>
        </w:rPr>
        <w:t>-201</w:t>
      </w:r>
      <w:r>
        <w:rPr>
          <w:rFonts w:ascii="Arial" w:hAnsi="Arial" w:cs="Arial"/>
          <w:b/>
          <w:sz w:val="20"/>
          <w:szCs w:val="20"/>
        </w:rPr>
        <w:t>3</w:t>
      </w:r>
    </w:p>
    <w:bookmarkEnd w:id="20"/>
    <w:p w:rsidR="00AD7993" w:rsidRDefault="000551E4" w:rsidP="00AD7993">
      <w:pPr>
        <w:spacing w:after="0"/>
        <w:jc w:val="both"/>
        <w:rPr>
          <w:rFonts w:ascii="Arial" w:hAnsi="Arial" w:cs="Arial"/>
          <w:sz w:val="16"/>
          <w:szCs w:val="16"/>
        </w:rPr>
      </w:pPr>
      <w:r w:rsidRPr="000551E4">
        <w:rPr>
          <w:noProof/>
          <w:szCs w:val="16"/>
          <w:lang w:eastAsia="ca-ES"/>
        </w:rPr>
        <w:drawing>
          <wp:inline distT="0" distB="0" distL="0" distR="0">
            <wp:extent cx="5400040" cy="2894573"/>
            <wp:effectExtent l="19050" t="0" r="0" b="0"/>
            <wp:docPr id="57"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srcRect/>
                    <a:stretch>
                      <a:fillRect/>
                    </a:stretch>
                  </pic:blipFill>
                  <pic:spPr bwMode="auto">
                    <a:xfrm>
                      <a:off x="0" y="0"/>
                      <a:ext cx="5400040" cy="2894573"/>
                    </a:xfrm>
                    <a:prstGeom prst="rect">
                      <a:avLst/>
                    </a:prstGeom>
                    <a:noFill/>
                    <a:ln w="9525">
                      <a:noFill/>
                      <a:miter lim="800000"/>
                      <a:headEnd/>
                      <a:tailEnd/>
                    </a:ln>
                  </pic:spPr>
                </pic:pic>
              </a:graphicData>
            </a:graphic>
          </wp:inline>
        </w:drawing>
      </w:r>
    </w:p>
    <w:p w:rsidR="00392B22" w:rsidRDefault="00392B22" w:rsidP="00AD7993">
      <w:pPr>
        <w:spacing w:after="0"/>
        <w:jc w:val="both"/>
        <w:rPr>
          <w:rFonts w:ascii="Arial" w:hAnsi="Arial" w:cs="Arial"/>
          <w:sz w:val="16"/>
          <w:szCs w:val="16"/>
        </w:rPr>
      </w:pPr>
      <w:r w:rsidRPr="004A0C97">
        <w:rPr>
          <w:rFonts w:ascii="Arial" w:hAnsi="Arial" w:cs="Arial"/>
          <w:sz w:val="16"/>
          <w:szCs w:val="16"/>
        </w:rPr>
        <w:t xml:space="preserve">Nota: els valors </w:t>
      </w:r>
      <w:r>
        <w:rPr>
          <w:rFonts w:ascii="Arial" w:hAnsi="Arial" w:cs="Arial"/>
          <w:sz w:val="16"/>
          <w:szCs w:val="16"/>
        </w:rPr>
        <w:t xml:space="preserve">d’Espanya i Catalunya </w:t>
      </w:r>
      <w:r w:rsidRPr="004A0C97">
        <w:rPr>
          <w:rFonts w:ascii="Arial" w:hAnsi="Arial" w:cs="Arial"/>
          <w:sz w:val="16"/>
          <w:szCs w:val="16"/>
        </w:rPr>
        <w:t>dels</w:t>
      </w:r>
      <w:r w:rsidR="00EE1D8A">
        <w:rPr>
          <w:rFonts w:ascii="Arial" w:hAnsi="Arial" w:cs="Arial"/>
          <w:sz w:val="16"/>
          <w:szCs w:val="16"/>
        </w:rPr>
        <w:t xml:space="preserve"> </w:t>
      </w:r>
      <w:r w:rsidRPr="004A0C97">
        <w:rPr>
          <w:rFonts w:ascii="Arial" w:hAnsi="Arial" w:cs="Arial"/>
          <w:sz w:val="16"/>
          <w:szCs w:val="16"/>
        </w:rPr>
        <w:t>anys 200</w:t>
      </w:r>
      <w:r>
        <w:rPr>
          <w:rFonts w:ascii="Arial" w:hAnsi="Arial" w:cs="Arial"/>
          <w:sz w:val="16"/>
          <w:szCs w:val="16"/>
        </w:rPr>
        <w:t>4-</w:t>
      </w:r>
      <w:r w:rsidRPr="004A0C97">
        <w:rPr>
          <w:rFonts w:ascii="Arial" w:hAnsi="Arial" w:cs="Arial"/>
          <w:sz w:val="16"/>
          <w:szCs w:val="16"/>
        </w:rPr>
        <w:t>2008 s’obtenen aplicant als valors</w:t>
      </w:r>
      <w:r>
        <w:rPr>
          <w:rFonts w:ascii="Arial" w:hAnsi="Arial" w:cs="Arial"/>
          <w:sz w:val="16"/>
          <w:szCs w:val="16"/>
        </w:rPr>
        <w:t xml:space="preserve"> nominals</w:t>
      </w:r>
      <w:r w:rsidRPr="004A0C97">
        <w:rPr>
          <w:rFonts w:ascii="Arial" w:hAnsi="Arial" w:cs="Arial"/>
          <w:sz w:val="16"/>
          <w:szCs w:val="16"/>
        </w:rPr>
        <w:t xml:space="preserve"> del 2009 les taxes de creixement dels valors de les</w:t>
      </w:r>
      <w:r>
        <w:rPr>
          <w:rFonts w:ascii="Arial" w:hAnsi="Arial" w:cs="Arial"/>
          <w:sz w:val="16"/>
          <w:szCs w:val="16"/>
        </w:rPr>
        <w:t xml:space="preserve"> mateixes variables de l’ECV en base 2004 i posteriorment deflactats per l’IPC corresponent. Els valors de la UE-28 dels anys 2004-2009 s’obtenen aplicant al valor nominal del 2010 les taxes de creixement de la mateixa variable per la UE-27 i posteriorment deflactats per l’IPC corresponent.</w:t>
      </w:r>
    </w:p>
    <w:p w:rsidR="00AD7993" w:rsidRDefault="00AD7993" w:rsidP="000F504C">
      <w:pPr>
        <w:jc w:val="both"/>
        <w:rPr>
          <w:rFonts w:ascii="Arial" w:hAnsi="Arial" w:cs="Arial"/>
          <w:sz w:val="16"/>
          <w:szCs w:val="16"/>
        </w:rPr>
      </w:pPr>
      <w:r w:rsidRPr="00A83FB2">
        <w:rPr>
          <w:rFonts w:ascii="Arial" w:hAnsi="Arial" w:cs="Arial"/>
          <w:sz w:val="16"/>
          <w:szCs w:val="16"/>
        </w:rPr>
        <w:t xml:space="preserve">Font: </w:t>
      </w:r>
      <w:r>
        <w:rPr>
          <w:rFonts w:ascii="Arial" w:hAnsi="Arial" w:cs="Arial"/>
          <w:sz w:val="16"/>
          <w:szCs w:val="16"/>
        </w:rPr>
        <w:t>elaboració pròpia amb dades d’</w:t>
      </w:r>
      <w:r w:rsidRPr="00A83FB2">
        <w:rPr>
          <w:rFonts w:ascii="Arial" w:hAnsi="Arial" w:cs="Arial"/>
          <w:sz w:val="16"/>
          <w:szCs w:val="16"/>
        </w:rPr>
        <w:t>Eurostat</w:t>
      </w:r>
      <w:r>
        <w:rPr>
          <w:rFonts w:ascii="Arial" w:hAnsi="Arial" w:cs="Arial"/>
          <w:sz w:val="16"/>
          <w:szCs w:val="16"/>
        </w:rPr>
        <w:t xml:space="preserve"> i INE a partir de l’ECV base 2013 descomptant el creixement de l’IPC.</w:t>
      </w:r>
    </w:p>
    <w:p w:rsidR="00592786" w:rsidRPr="00A83FB2" w:rsidRDefault="00592786" w:rsidP="000F504C">
      <w:pPr>
        <w:jc w:val="both"/>
        <w:rPr>
          <w:rFonts w:ascii="Arial" w:hAnsi="Arial" w:cs="Arial"/>
          <w:b/>
          <w:sz w:val="16"/>
          <w:szCs w:val="16"/>
        </w:rPr>
      </w:pPr>
    </w:p>
    <w:p w:rsidR="00E848CD" w:rsidRDefault="00392B22" w:rsidP="000F504C">
      <w:pPr>
        <w:jc w:val="both"/>
        <w:rPr>
          <w:rFonts w:ascii="Arial" w:hAnsi="Arial" w:cs="Arial"/>
        </w:rPr>
      </w:pPr>
      <w:r>
        <w:rPr>
          <w:rFonts w:ascii="Arial" w:hAnsi="Arial" w:cs="Arial"/>
        </w:rPr>
        <w:lastRenderedPageBreak/>
        <w:t>La càrrega d’</w:t>
      </w:r>
      <w:r w:rsidR="001B53A6">
        <w:rPr>
          <w:rFonts w:ascii="Arial" w:hAnsi="Arial" w:cs="Arial"/>
        </w:rPr>
        <w:t xml:space="preserve">aquest retrocés </w:t>
      </w:r>
      <w:r>
        <w:rPr>
          <w:rFonts w:ascii="Arial" w:hAnsi="Arial" w:cs="Arial"/>
        </w:rPr>
        <w:t xml:space="preserve">de la capacitat adquisitiva de la renda de les famílies catalanes, </w:t>
      </w:r>
      <w:r w:rsidR="001B53A6">
        <w:rPr>
          <w:rFonts w:ascii="Arial" w:hAnsi="Arial" w:cs="Arial"/>
        </w:rPr>
        <w:t>i</w:t>
      </w:r>
      <w:r w:rsidR="000F504C">
        <w:rPr>
          <w:rFonts w:ascii="Arial" w:hAnsi="Arial" w:cs="Arial"/>
        </w:rPr>
        <w:t xml:space="preserve"> </w:t>
      </w:r>
      <w:r w:rsidR="001B53A6">
        <w:rPr>
          <w:rFonts w:ascii="Arial" w:hAnsi="Arial" w:cs="Arial"/>
        </w:rPr>
        <w:t>d</w:t>
      </w:r>
      <w:r>
        <w:rPr>
          <w:rFonts w:ascii="Arial" w:hAnsi="Arial" w:cs="Arial"/>
        </w:rPr>
        <w:t>el conjunt d’Espanya, s’està repartint d’una manera gens equitativa, acumulant les pèrdues relatives els extrems inferiors de la distribució d’ingressos.</w:t>
      </w:r>
      <w:r w:rsidR="000F504C">
        <w:rPr>
          <w:rFonts w:ascii="Arial" w:hAnsi="Arial" w:cs="Arial"/>
        </w:rPr>
        <w:t xml:space="preserve"> </w:t>
      </w:r>
      <w:r w:rsidR="001B53A6">
        <w:rPr>
          <w:rFonts w:ascii="Arial" w:hAnsi="Arial" w:cs="Arial"/>
        </w:rPr>
        <w:t xml:space="preserve">Diferents </w:t>
      </w:r>
      <w:r w:rsidR="008B0976">
        <w:rPr>
          <w:rFonts w:ascii="Arial" w:hAnsi="Arial" w:cs="Arial"/>
        </w:rPr>
        <w:t>indicador</w:t>
      </w:r>
      <w:r w:rsidR="001B53A6">
        <w:rPr>
          <w:rFonts w:ascii="Arial" w:hAnsi="Arial" w:cs="Arial"/>
        </w:rPr>
        <w:t>s</w:t>
      </w:r>
      <w:r w:rsidR="008B0976">
        <w:rPr>
          <w:rFonts w:ascii="Arial" w:hAnsi="Arial" w:cs="Arial"/>
        </w:rPr>
        <w:t xml:space="preserve"> d</w:t>
      </w:r>
      <w:r w:rsidR="001B53A6">
        <w:rPr>
          <w:rFonts w:ascii="Arial" w:hAnsi="Arial" w:cs="Arial"/>
        </w:rPr>
        <w:t>e</w:t>
      </w:r>
      <w:r w:rsidR="000F504C">
        <w:rPr>
          <w:rFonts w:ascii="Arial" w:hAnsi="Arial" w:cs="Arial"/>
        </w:rPr>
        <w:t xml:space="preserve"> </w:t>
      </w:r>
      <w:r w:rsidR="001B53A6">
        <w:rPr>
          <w:rFonts w:ascii="Arial" w:hAnsi="Arial" w:cs="Arial"/>
        </w:rPr>
        <w:t>l’</w:t>
      </w:r>
      <w:r w:rsidR="008B0976">
        <w:rPr>
          <w:rFonts w:ascii="Arial" w:hAnsi="Arial" w:cs="Arial"/>
        </w:rPr>
        <w:t xml:space="preserve">evolució negativa </w:t>
      </w:r>
      <w:r w:rsidR="005E23E4">
        <w:rPr>
          <w:rFonts w:ascii="Arial" w:hAnsi="Arial" w:cs="Arial"/>
        </w:rPr>
        <w:t>en la distribució de la renda</w:t>
      </w:r>
      <w:r w:rsidR="000F504C">
        <w:rPr>
          <w:rFonts w:ascii="Arial" w:hAnsi="Arial" w:cs="Arial"/>
        </w:rPr>
        <w:t xml:space="preserve"> </w:t>
      </w:r>
      <w:r w:rsidR="001B53A6">
        <w:rPr>
          <w:rFonts w:ascii="Arial" w:hAnsi="Arial" w:cs="Arial"/>
        </w:rPr>
        <w:t>així ho posen de manifest,</w:t>
      </w:r>
      <w:r w:rsidR="00C22918">
        <w:rPr>
          <w:rFonts w:ascii="Arial" w:hAnsi="Arial" w:cs="Arial"/>
        </w:rPr>
        <w:t xml:space="preserve"> com ho són l’evolució de l’índex de Gini, de l’índex S80/20 -la raó entre els ingressos del 20% de la població amb ingressos més elevats i els ingressos del 20% de la població amb menors ingressos-, i l’evolució de la taxa de risc de pobres i/o exclusió social (indicador AROPE) i els seus components</w:t>
      </w:r>
      <w:r w:rsidR="008B0976">
        <w:rPr>
          <w:rFonts w:ascii="Arial" w:hAnsi="Arial" w:cs="Arial"/>
        </w:rPr>
        <w:t>.</w:t>
      </w:r>
    </w:p>
    <w:p w:rsidR="007C184F" w:rsidRPr="00E848CD" w:rsidRDefault="00F22A6E" w:rsidP="007C184F">
      <w:pPr>
        <w:jc w:val="both"/>
        <w:rPr>
          <w:rFonts w:ascii="Arial" w:hAnsi="Arial" w:cs="Arial"/>
          <w:b/>
          <w:i/>
        </w:rPr>
      </w:pPr>
      <w:r>
        <w:rPr>
          <w:rFonts w:ascii="Arial" w:hAnsi="Arial" w:cs="Arial"/>
          <w:b/>
          <w:i/>
        </w:rPr>
        <w:t>Í</w:t>
      </w:r>
      <w:r w:rsidR="007C184F" w:rsidRPr="00E848CD">
        <w:rPr>
          <w:rFonts w:ascii="Arial" w:hAnsi="Arial" w:cs="Arial"/>
          <w:b/>
          <w:i/>
        </w:rPr>
        <w:t>ndex de Gini</w:t>
      </w:r>
    </w:p>
    <w:p w:rsidR="00E848CD" w:rsidRDefault="00016E82" w:rsidP="00220E83">
      <w:pPr>
        <w:jc w:val="both"/>
        <w:rPr>
          <w:rFonts w:ascii="Arial" w:hAnsi="Arial" w:cs="Arial"/>
        </w:rPr>
      </w:pPr>
      <w:r>
        <w:rPr>
          <w:rFonts w:ascii="Arial" w:hAnsi="Arial" w:cs="Arial"/>
        </w:rPr>
        <w:t>L</w:t>
      </w:r>
      <w:r w:rsidR="00311460">
        <w:rPr>
          <w:rFonts w:ascii="Arial" w:hAnsi="Arial" w:cs="Arial"/>
        </w:rPr>
        <w:t xml:space="preserve">’índex </w:t>
      </w:r>
      <w:r w:rsidR="000957F6">
        <w:rPr>
          <w:rFonts w:ascii="Arial" w:hAnsi="Arial" w:cs="Arial"/>
        </w:rPr>
        <w:t>de Gini</w:t>
      </w:r>
      <w:r w:rsidR="00311460">
        <w:rPr>
          <w:rStyle w:val="Refdenotaalpie"/>
          <w:rFonts w:ascii="Arial" w:hAnsi="Arial" w:cs="Arial"/>
        </w:rPr>
        <w:footnoteReference w:id="8"/>
      </w:r>
      <w:r w:rsidR="000F504C">
        <w:rPr>
          <w:rFonts w:ascii="Arial" w:hAnsi="Arial" w:cs="Arial"/>
        </w:rPr>
        <w:t xml:space="preserve"> </w:t>
      </w:r>
      <w:r>
        <w:rPr>
          <w:rFonts w:ascii="Arial" w:hAnsi="Arial" w:cs="Arial"/>
        </w:rPr>
        <w:t xml:space="preserve">és probablement l’indicador més utilitzat per a mesurar la desigualtat en la distribució dels ingressos d’una economia. </w:t>
      </w:r>
      <w:r w:rsidR="007420DD">
        <w:rPr>
          <w:rFonts w:ascii="Arial" w:hAnsi="Arial" w:cs="Arial"/>
        </w:rPr>
        <w:t>T</w:t>
      </w:r>
      <w:r>
        <w:rPr>
          <w:rFonts w:ascii="Arial" w:hAnsi="Arial" w:cs="Arial"/>
        </w:rPr>
        <w:t>e</w:t>
      </w:r>
      <w:r w:rsidR="000578A1">
        <w:rPr>
          <w:rFonts w:ascii="Arial" w:hAnsi="Arial" w:cs="Arial"/>
        </w:rPr>
        <w:t>ò</w:t>
      </w:r>
      <w:r>
        <w:rPr>
          <w:rFonts w:ascii="Arial" w:hAnsi="Arial" w:cs="Arial"/>
        </w:rPr>
        <w:t>ricament els seus valor</w:t>
      </w:r>
      <w:r w:rsidR="000578A1">
        <w:rPr>
          <w:rFonts w:ascii="Arial" w:hAnsi="Arial" w:cs="Arial"/>
        </w:rPr>
        <w:t>s</w:t>
      </w:r>
      <w:r>
        <w:rPr>
          <w:rFonts w:ascii="Arial" w:hAnsi="Arial" w:cs="Arial"/>
        </w:rPr>
        <w:t xml:space="preserve"> osci</w:t>
      </w:r>
      <w:r w:rsidR="000578A1">
        <w:rPr>
          <w:rFonts w:ascii="Arial" w:hAnsi="Arial" w:cs="Arial"/>
        </w:rPr>
        <w:t>l·</w:t>
      </w:r>
      <w:r>
        <w:rPr>
          <w:rFonts w:ascii="Arial" w:hAnsi="Arial" w:cs="Arial"/>
        </w:rPr>
        <w:t>len entre 0</w:t>
      </w:r>
      <w:r w:rsidR="000F504C">
        <w:rPr>
          <w:rFonts w:ascii="Arial" w:hAnsi="Arial" w:cs="Arial"/>
        </w:rPr>
        <w:t xml:space="preserve"> -</w:t>
      </w:r>
      <w:r>
        <w:rPr>
          <w:rFonts w:ascii="Arial" w:hAnsi="Arial" w:cs="Arial"/>
        </w:rPr>
        <w:t>màxima equitat en la distribució</w:t>
      </w:r>
      <w:r w:rsidR="000578A1">
        <w:rPr>
          <w:rFonts w:ascii="Arial" w:hAnsi="Arial" w:cs="Arial"/>
        </w:rPr>
        <w:t>-</w:t>
      </w:r>
      <w:r>
        <w:rPr>
          <w:rFonts w:ascii="Arial" w:hAnsi="Arial" w:cs="Arial"/>
        </w:rPr>
        <w:t xml:space="preserve"> i 1 </w:t>
      </w:r>
      <w:r w:rsidR="000F504C">
        <w:rPr>
          <w:rFonts w:ascii="Arial" w:hAnsi="Arial" w:cs="Arial"/>
        </w:rPr>
        <w:t>-</w:t>
      </w:r>
      <w:r w:rsidR="000578A1">
        <w:rPr>
          <w:rFonts w:ascii="Arial" w:hAnsi="Arial" w:cs="Arial"/>
        </w:rPr>
        <w:t>mà</w:t>
      </w:r>
      <w:r>
        <w:rPr>
          <w:rFonts w:ascii="Arial" w:hAnsi="Arial" w:cs="Arial"/>
        </w:rPr>
        <w:t>xima desigu</w:t>
      </w:r>
      <w:r w:rsidR="000578A1">
        <w:rPr>
          <w:rFonts w:ascii="Arial" w:hAnsi="Arial" w:cs="Arial"/>
        </w:rPr>
        <w:t>a</w:t>
      </w:r>
      <w:r>
        <w:rPr>
          <w:rFonts w:ascii="Arial" w:hAnsi="Arial" w:cs="Arial"/>
        </w:rPr>
        <w:t>lt</w:t>
      </w:r>
      <w:r w:rsidR="00BC7B46">
        <w:rPr>
          <w:rFonts w:ascii="Arial" w:hAnsi="Arial" w:cs="Arial"/>
        </w:rPr>
        <w:t>at</w:t>
      </w:r>
      <w:r w:rsidR="00684F98">
        <w:rPr>
          <w:rFonts w:ascii="Arial" w:hAnsi="Arial" w:cs="Arial"/>
        </w:rPr>
        <w:t>-.</w:t>
      </w:r>
      <w:r w:rsidR="000F504C">
        <w:rPr>
          <w:rFonts w:ascii="Arial" w:hAnsi="Arial" w:cs="Arial"/>
        </w:rPr>
        <w:t xml:space="preserve"> </w:t>
      </w:r>
      <w:r w:rsidR="00684F98">
        <w:rPr>
          <w:rFonts w:ascii="Arial" w:hAnsi="Arial" w:cs="Arial"/>
        </w:rPr>
        <w:t xml:space="preserve">En </w:t>
      </w:r>
      <w:r>
        <w:rPr>
          <w:rFonts w:ascii="Arial" w:hAnsi="Arial" w:cs="Arial"/>
        </w:rPr>
        <w:t>els pa</w:t>
      </w:r>
      <w:r w:rsidR="000578A1">
        <w:rPr>
          <w:rFonts w:ascii="Arial" w:hAnsi="Arial" w:cs="Arial"/>
        </w:rPr>
        <w:t>ï</w:t>
      </w:r>
      <w:r>
        <w:rPr>
          <w:rFonts w:ascii="Arial" w:hAnsi="Arial" w:cs="Arial"/>
        </w:rPr>
        <w:t>sos de la UE-2</w:t>
      </w:r>
      <w:r w:rsidR="00520AD2">
        <w:rPr>
          <w:rFonts w:ascii="Arial" w:hAnsi="Arial" w:cs="Arial"/>
        </w:rPr>
        <w:t>8</w:t>
      </w:r>
      <w:r>
        <w:rPr>
          <w:rFonts w:ascii="Arial" w:hAnsi="Arial" w:cs="Arial"/>
        </w:rPr>
        <w:t xml:space="preserve"> i en els anys 199</w:t>
      </w:r>
      <w:r w:rsidR="00520AD2">
        <w:rPr>
          <w:rFonts w:ascii="Arial" w:hAnsi="Arial" w:cs="Arial"/>
        </w:rPr>
        <w:t>8</w:t>
      </w:r>
      <w:r w:rsidR="000F504C">
        <w:rPr>
          <w:rFonts w:ascii="Arial" w:hAnsi="Arial" w:cs="Arial"/>
        </w:rPr>
        <w:t xml:space="preserve"> </w:t>
      </w:r>
      <w:r w:rsidR="000578A1">
        <w:rPr>
          <w:rFonts w:ascii="Arial" w:hAnsi="Arial" w:cs="Arial"/>
        </w:rPr>
        <w:t>a</w:t>
      </w:r>
      <w:r>
        <w:rPr>
          <w:rFonts w:ascii="Arial" w:hAnsi="Arial" w:cs="Arial"/>
        </w:rPr>
        <w:t xml:space="preserve"> 201</w:t>
      </w:r>
      <w:r w:rsidR="007420DD">
        <w:rPr>
          <w:rFonts w:ascii="Arial" w:hAnsi="Arial" w:cs="Arial"/>
        </w:rPr>
        <w:t>2</w:t>
      </w:r>
      <w:r w:rsidR="000578A1">
        <w:rPr>
          <w:rFonts w:ascii="Arial" w:hAnsi="Arial" w:cs="Arial"/>
        </w:rPr>
        <w:t>,</w:t>
      </w:r>
      <w:r>
        <w:rPr>
          <w:rFonts w:ascii="Arial" w:hAnsi="Arial" w:cs="Arial"/>
        </w:rPr>
        <w:t xml:space="preserve"> els valors</w:t>
      </w:r>
      <w:r w:rsidR="000578A1">
        <w:rPr>
          <w:rFonts w:ascii="Arial" w:hAnsi="Arial" w:cs="Arial"/>
        </w:rPr>
        <w:t xml:space="preserve"> de l’índex</w:t>
      </w:r>
      <w:r w:rsidR="000F504C">
        <w:rPr>
          <w:rFonts w:ascii="Arial" w:hAnsi="Arial" w:cs="Arial"/>
        </w:rPr>
        <w:t xml:space="preserve"> </w:t>
      </w:r>
      <w:r w:rsidR="00684F98">
        <w:rPr>
          <w:rFonts w:ascii="Arial" w:hAnsi="Arial" w:cs="Arial"/>
        </w:rPr>
        <w:t>es situen</w:t>
      </w:r>
      <w:r w:rsidR="00B0001A">
        <w:rPr>
          <w:rFonts w:ascii="Arial" w:hAnsi="Arial" w:cs="Arial"/>
        </w:rPr>
        <w:t xml:space="preserve"> entre</w:t>
      </w:r>
      <w:r w:rsidR="00E848CD">
        <w:rPr>
          <w:rFonts w:ascii="Arial" w:hAnsi="Arial" w:cs="Arial"/>
        </w:rPr>
        <w:t xml:space="preserve"> el valor mínim de Dinamarca l’any </w:t>
      </w:r>
      <w:r w:rsidR="00520AD2">
        <w:rPr>
          <w:rFonts w:ascii="Arial" w:hAnsi="Arial" w:cs="Arial"/>
        </w:rPr>
        <w:t>1998</w:t>
      </w:r>
      <w:r w:rsidR="00E848CD">
        <w:rPr>
          <w:rFonts w:ascii="Arial" w:hAnsi="Arial" w:cs="Arial"/>
        </w:rPr>
        <w:t>, del</w:t>
      </w:r>
      <w:r w:rsidR="00B0001A">
        <w:rPr>
          <w:rFonts w:ascii="Arial" w:hAnsi="Arial" w:cs="Arial"/>
        </w:rPr>
        <w:t xml:space="preserve"> 0,2</w:t>
      </w:r>
      <w:r w:rsidR="00520AD2">
        <w:rPr>
          <w:rFonts w:ascii="Arial" w:hAnsi="Arial" w:cs="Arial"/>
        </w:rPr>
        <w:t>1</w:t>
      </w:r>
      <w:r w:rsidR="00E848CD">
        <w:rPr>
          <w:rFonts w:ascii="Arial" w:hAnsi="Arial" w:cs="Arial"/>
        </w:rPr>
        <w:t xml:space="preserve">, </w:t>
      </w:r>
      <w:r>
        <w:rPr>
          <w:rFonts w:ascii="Arial" w:hAnsi="Arial" w:cs="Arial"/>
        </w:rPr>
        <w:t>i</w:t>
      </w:r>
      <w:r w:rsidR="00E848CD">
        <w:rPr>
          <w:rFonts w:ascii="Arial" w:hAnsi="Arial" w:cs="Arial"/>
        </w:rPr>
        <w:t xml:space="preserve"> el valor màxim de </w:t>
      </w:r>
      <w:r w:rsidR="003A69BF">
        <w:rPr>
          <w:rFonts w:ascii="Arial" w:hAnsi="Arial" w:cs="Arial"/>
        </w:rPr>
        <w:t>Letònia</w:t>
      </w:r>
      <w:r w:rsidR="006533B7">
        <w:rPr>
          <w:rFonts w:ascii="Arial" w:hAnsi="Arial" w:cs="Arial"/>
        </w:rPr>
        <w:t xml:space="preserve"> l’any 2005, del</w:t>
      </w:r>
      <w:r>
        <w:rPr>
          <w:rFonts w:ascii="Arial" w:hAnsi="Arial" w:cs="Arial"/>
        </w:rPr>
        <w:t xml:space="preserve"> 0,3</w:t>
      </w:r>
      <w:r w:rsidR="00B0001A">
        <w:rPr>
          <w:rFonts w:ascii="Arial" w:hAnsi="Arial" w:cs="Arial"/>
        </w:rPr>
        <w:t>9</w:t>
      </w:r>
      <w:r>
        <w:rPr>
          <w:rFonts w:ascii="Arial" w:hAnsi="Arial" w:cs="Arial"/>
        </w:rPr>
        <w:t>.</w:t>
      </w:r>
    </w:p>
    <w:p w:rsidR="000957F6" w:rsidRDefault="00FE710F" w:rsidP="00220E83">
      <w:pPr>
        <w:jc w:val="both"/>
        <w:rPr>
          <w:rFonts w:ascii="Arial" w:hAnsi="Arial" w:cs="Arial"/>
        </w:rPr>
      </w:pPr>
      <w:r>
        <w:rPr>
          <w:rFonts w:ascii="Arial" w:hAnsi="Arial" w:cs="Arial"/>
        </w:rPr>
        <w:t xml:space="preserve">Com </w:t>
      </w:r>
      <w:r w:rsidR="00684F98">
        <w:rPr>
          <w:rFonts w:ascii="Arial" w:hAnsi="Arial" w:cs="Arial"/>
        </w:rPr>
        <w:t xml:space="preserve">ja s’indicava </w:t>
      </w:r>
      <w:r>
        <w:rPr>
          <w:rFonts w:ascii="Arial" w:hAnsi="Arial" w:cs="Arial"/>
        </w:rPr>
        <w:t>en l’anterior informe de desigualtat</w:t>
      </w:r>
      <w:r w:rsidR="00684F98">
        <w:rPr>
          <w:rFonts w:ascii="Arial" w:hAnsi="Arial" w:cs="Arial"/>
        </w:rPr>
        <w:t>s</w:t>
      </w:r>
      <w:r>
        <w:rPr>
          <w:rFonts w:ascii="Arial" w:hAnsi="Arial" w:cs="Arial"/>
        </w:rPr>
        <w:t>, e</w:t>
      </w:r>
      <w:r w:rsidR="00BC7B46">
        <w:rPr>
          <w:rFonts w:ascii="Arial" w:hAnsi="Arial" w:cs="Arial"/>
        </w:rPr>
        <w:t xml:space="preserve">n els </w:t>
      </w:r>
      <w:r w:rsidR="00316E0B">
        <w:rPr>
          <w:rFonts w:ascii="Arial" w:hAnsi="Arial" w:cs="Arial"/>
        </w:rPr>
        <w:t xml:space="preserve">quatre </w:t>
      </w:r>
      <w:r w:rsidR="00D83E2A">
        <w:rPr>
          <w:rFonts w:ascii="Arial" w:hAnsi="Arial" w:cs="Arial"/>
        </w:rPr>
        <w:t>anys previs a l’actual crisi</w:t>
      </w:r>
      <w:r w:rsidR="000F504C">
        <w:rPr>
          <w:rFonts w:ascii="Arial" w:hAnsi="Arial" w:cs="Arial"/>
        </w:rPr>
        <w:t xml:space="preserve"> </w:t>
      </w:r>
      <w:r w:rsidR="00684F98">
        <w:rPr>
          <w:rFonts w:ascii="Arial" w:hAnsi="Arial" w:cs="Arial"/>
        </w:rPr>
        <w:t>-</w:t>
      </w:r>
      <w:r w:rsidR="00BC7B46">
        <w:rPr>
          <w:rFonts w:ascii="Arial" w:hAnsi="Arial" w:cs="Arial"/>
        </w:rPr>
        <w:t>200</w:t>
      </w:r>
      <w:r w:rsidR="00316E0B">
        <w:rPr>
          <w:rFonts w:ascii="Arial" w:hAnsi="Arial" w:cs="Arial"/>
        </w:rPr>
        <w:t>4</w:t>
      </w:r>
      <w:r w:rsidR="00BC7B46">
        <w:rPr>
          <w:rFonts w:ascii="Arial" w:hAnsi="Arial" w:cs="Arial"/>
        </w:rPr>
        <w:t>-2007</w:t>
      </w:r>
      <w:r w:rsidR="00684F98">
        <w:rPr>
          <w:rFonts w:ascii="Arial" w:hAnsi="Arial" w:cs="Arial"/>
        </w:rPr>
        <w:t>-</w:t>
      </w:r>
      <w:r w:rsidR="000F504C">
        <w:rPr>
          <w:rFonts w:ascii="Arial" w:hAnsi="Arial" w:cs="Arial"/>
        </w:rPr>
        <w:t xml:space="preserve"> </w:t>
      </w:r>
      <w:r w:rsidR="004B2C33">
        <w:rPr>
          <w:rFonts w:ascii="Arial" w:hAnsi="Arial" w:cs="Arial"/>
        </w:rPr>
        <w:t>Catalunya ha</w:t>
      </w:r>
      <w:r>
        <w:rPr>
          <w:rFonts w:ascii="Arial" w:hAnsi="Arial" w:cs="Arial"/>
        </w:rPr>
        <w:t>via</w:t>
      </w:r>
      <w:r w:rsidR="004B2C33">
        <w:rPr>
          <w:rFonts w:ascii="Arial" w:hAnsi="Arial" w:cs="Arial"/>
        </w:rPr>
        <w:t xml:space="preserve"> mantingut un valor mitjà de l’índex del 0,29, dos punts</w:t>
      </w:r>
      <w:r w:rsidR="000957F6">
        <w:rPr>
          <w:rFonts w:ascii="Arial" w:hAnsi="Arial" w:cs="Arial"/>
        </w:rPr>
        <w:t xml:space="preserve"> per sota dels </w:t>
      </w:r>
      <w:r w:rsidR="004B2C33">
        <w:rPr>
          <w:rFonts w:ascii="Arial" w:hAnsi="Arial" w:cs="Arial"/>
        </w:rPr>
        <w:t xml:space="preserve">0,31 del conjunt de </w:t>
      </w:r>
      <w:r w:rsidR="00025D90">
        <w:rPr>
          <w:rFonts w:ascii="Arial" w:hAnsi="Arial" w:cs="Arial"/>
        </w:rPr>
        <w:t>pa</w:t>
      </w:r>
      <w:r w:rsidR="004B2C33">
        <w:rPr>
          <w:rFonts w:ascii="Arial" w:hAnsi="Arial" w:cs="Arial"/>
        </w:rPr>
        <w:t>ï</w:t>
      </w:r>
      <w:r w:rsidR="00025D90">
        <w:rPr>
          <w:rFonts w:ascii="Arial" w:hAnsi="Arial" w:cs="Arial"/>
        </w:rPr>
        <w:t xml:space="preserve">sos de </w:t>
      </w:r>
      <w:r w:rsidR="00F22A6E">
        <w:rPr>
          <w:rFonts w:ascii="Arial" w:hAnsi="Arial" w:cs="Arial"/>
        </w:rPr>
        <w:t>la UE</w:t>
      </w:r>
      <w:r w:rsidR="00520AD2">
        <w:rPr>
          <w:rFonts w:ascii="Arial" w:hAnsi="Arial" w:cs="Arial"/>
        </w:rPr>
        <w:t>-</w:t>
      </w:r>
      <w:r w:rsidR="009B76A9">
        <w:rPr>
          <w:rFonts w:ascii="Arial" w:hAnsi="Arial" w:cs="Arial"/>
        </w:rPr>
        <w:t>27</w:t>
      </w:r>
      <w:r>
        <w:rPr>
          <w:rFonts w:ascii="Arial" w:hAnsi="Arial" w:cs="Arial"/>
        </w:rPr>
        <w:t xml:space="preserve">, mentre que Espanya mostrava una valor </w:t>
      </w:r>
      <w:r w:rsidR="00F24AC1">
        <w:rPr>
          <w:rFonts w:ascii="Arial" w:hAnsi="Arial" w:cs="Arial"/>
        </w:rPr>
        <w:t xml:space="preserve">de desigualtat </w:t>
      </w:r>
      <w:r>
        <w:rPr>
          <w:rFonts w:ascii="Arial" w:hAnsi="Arial" w:cs="Arial"/>
        </w:rPr>
        <w:t>més elevat que la mitjana, de 0,32, amb només vuit països</w:t>
      </w:r>
      <w:r w:rsidR="002F55CC">
        <w:rPr>
          <w:rFonts w:ascii="Arial" w:hAnsi="Arial" w:cs="Arial"/>
        </w:rPr>
        <w:t xml:space="preserve"> (Polònia, Lituània, Estònia, Regne Unit, Romania, Grècia, Portugal i Letònia)</w:t>
      </w:r>
      <w:r>
        <w:rPr>
          <w:rFonts w:ascii="Arial" w:hAnsi="Arial" w:cs="Arial"/>
        </w:rPr>
        <w:t xml:space="preserve"> amb un comportament d’aquest índex de desigualtat clarament superior a l’espanyol.</w:t>
      </w:r>
    </w:p>
    <w:p w:rsidR="002F55CC" w:rsidRDefault="005454F5" w:rsidP="00220E83">
      <w:pPr>
        <w:jc w:val="both"/>
        <w:rPr>
          <w:rFonts w:ascii="Arial" w:hAnsi="Arial" w:cs="Arial"/>
        </w:rPr>
      </w:pPr>
      <w:r>
        <w:rPr>
          <w:rFonts w:ascii="Arial" w:hAnsi="Arial" w:cs="Arial"/>
        </w:rPr>
        <w:t>L’impacte de la crisi ha anat acompanyat d’un augment de les desigualtats en la distribució de la renda, tant a Catalunya com en el conjunt d’Espanya, amb un augment de l’índex de Gini</w:t>
      </w:r>
      <w:r w:rsidR="00F24AC1">
        <w:rPr>
          <w:rFonts w:ascii="Arial" w:hAnsi="Arial" w:cs="Arial"/>
        </w:rPr>
        <w:t>,</w:t>
      </w:r>
      <w:r>
        <w:rPr>
          <w:rFonts w:ascii="Arial" w:hAnsi="Arial" w:cs="Arial"/>
        </w:rPr>
        <w:t xml:space="preserve"> que en termes mitjans dels anys 2008-2012 és del 0,32</w:t>
      </w:r>
      <w:r w:rsidR="00825B76">
        <w:rPr>
          <w:rFonts w:ascii="Arial" w:hAnsi="Arial" w:cs="Arial"/>
        </w:rPr>
        <w:t xml:space="preserve">, </w:t>
      </w:r>
      <w:r>
        <w:rPr>
          <w:rFonts w:ascii="Arial" w:hAnsi="Arial" w:cs="Arial"/>
        </w:rPr>
        <w:t>i</w:t>
      </w:r>
      <w:r w:rsidR="00825B76">
        <w:rPr>
          <w:rFonts w:ascii="Arial" w:hAnsi="Arial" w:cs="Arial"/>
        </w:rPr>
        <w:t xml:space="preserve"> que passa d’un valor de 0,29</w:t>
      </w:r>
      <w:r>
        <w:rPr>
          <w:rFonts w:ascii="Arial" w:hAnsi="Arial" w:cs="Arial"/>
        </w:rPr>
        <w:t xml:space="preserve"> </w:t>
      </w:r>
      <w:r w:rsidR="00825B76">
        <w:rPr>
          <w:rFonts w:ascii="Arial" w:hAnsi="Arial" w:cs="Arial"/>
        </w:rPr>
        <w:t xml:space="preserve">l’any 2007 a un valor </w:t>
      </w:r>
      <w:r>
        <w:rPr>
          <w:rFonts w:ascii="Arial" w:hAnsi="Arial" w:cs="Arial"/>
        </w:rPr>
        <w:t>de 0,3</w:t>
      </w:r>
      <w:r w:rsidR="00825B76">
        <w:rPr>
          <w:rFonts w:ascii="Arial" w:hAnsi="Arial" w:cs="Arial"/>
        </w:rPr>
        <w:t>2 el 2012</w:t>
      </w:r>
      <w:r>
        <w:rPr>
          <w:rFonts w:ascii="Arial" w:hAnsi="Arial" w:cs="Arial"/>
        </w:rPr>
        <w:t>. Mentre que aquest indicador de desigualtat s’ha reduït lleugerament pel conjunt de països de la UE</w:t>
      </w:r>
      <w:r w:rsidR="00F24AC1">
        <w:rPr>
          <w:rFonts w:ascii="Arial" w:hAnsi="Arial" w:cs="Arial"/>
        </w:rPr>
        <w:t>-28</w:t>
      </w:r>
      <w:r>
        <w:rPr>
          <w:rFonts w:ascii="Arial" w:hAnsi="Arial" w:cs="Arial"/>
        </w:rPr>
        <w:t>, amb un valor mitjà</w:t>
      </w:r>
      <w:r w:rsidR="00825B76">
        <w:rPr>
          <w:rFonts w:ascii="Arial" w:hAnsi="Arial" w:cs="Arial"/>
        </w:rPr>
        <w:t xml:space="preserve"> -2008-2012-</w:t>
      </w:r>
      <w:r>
        <w:rPr>
          <w:rFonts w:ascii="Arial" w:hAnsi="Arial" w:cs="Arial"/>
        </w:rPr>
        <w:t xml:space="preserve"> de</w:t>
      </w:r>
      <w:r w:rsidR="00F24AC1">
        <w:rPr>
          <w:rFonts w:ascii="Arial" w:hAnsi="Arial" w:cs="Arial"/>
        </w:rPr>
        <w:t>l</w:t>
      </w:r>
      <w:r>
        <w:rPr>
          <w:rFonts w:ascii="Arial" w:hAnsi="Arial" w:cs="Arial"/>
        </w:rPr>
        <w:t xml:space="preserve"> 0,31. Les dades de l’any 2013 -no disponibles pel conjunt de la UE-28- segueixen mostrant un increment de les desigualtats tant per Catalunya com per Espanya.</w:t>
      </w:r>
    </w:p>
    <w:p w:rsidR="00AD7993" w:rsidRDefault="006533B7" w:rsidP="00AA2BE1">
      <w:pPr>
        <w:jc w:val="both"/>
        <w:rPr>
          <w:rFonts w:ascii="Arial" w:hAnsi="Arial" w:cs="Arial"/>
        </w:rPr>
      </w:pPr>
      <w:r>
        <w:rPr>
          <w:rFonts w:ascii="Arial" w:hAnsi="Arial" w:cs="Arial"/>
        </w:rPr>
        <w:t>D’acord amb aquest índex, l</w:t>
      </w:r>
      <w:r w:rsidR="00E00089">
        <w:rPr>
          <w:rFonts w:ascii="Arial" w:hAnsi="Arial" w:cs="Arial"/>
        </w:rPr>
        <w:t>a majoria de països de la UE-2</w:t>
      </w:r>
      <w:r w:rsidR="00520AD2">
        <w:rPr>
          <w:rFonts w:ascii="Arial" w:hAnsi="Arial" w:cs="Arial"/>
        </w:rPr>
        <w:t>8</w:t>
      </w:r>
      <w:r w:rsidR="00E00089">
        <w:rPr>
          <w:rFonts w:ascii="Arial" w:hAnsi="Arial" w:cs="Arial"/>
        </w:rPr>
        <w:t xml:space="preserve"> (16 dels 2</w:t>
      </w:r>
      <w:r w:rsidR="00412AF4">
        <w:rPr>
          <w:rFonts w:ascii="Arial" w:hAnsi="Arial" w:cs="Arial"/>
        </w:rPr>
        <w:t>8</w:t>
      </w:r>
      <w:r w:rsidR="00E00089">
        <w:rPr>
          <w:rFonts w:ascii="Arial" w:hAnsi="Arial" w:cs="Arial"/>
        </w:rPr>
        <w:t xml:space="preserve">) han mostrat </w:t>
      </w:r>
      <w:r w:rsidR="00F3328F">
        <w:rPr>
          <w:rFonts w:ascii="Arial" w:hAnsi="Arial" w:cs="Arial"/>
        </w:rPr>
        <w:t xml:space="preserve">un sosteniment o lleugeres reduccions en el nivells </w:t>
      </w:r>
      <w:r w:rsidR="00E00089">
        <w:rPr>
          <w:rFonts w:ascii="Arial" w:hAnsi="Arial" w:cs="Arial"/>
        </w:rPr>
        <w:t xml:space="preserve">de desigualtats </w:t>
      </w:r>
      <w:r w:rsidR="00F3328F">
        <w:rPr>
          <w:rFonts w:ascii="Arial" w:hAnsi="Arial" w:cs="Arial"/>
        </w:rPr>
        <w:t>de</w:t>
      </w:r>
      <w:r w:rsidR="00E00089">
        <w:rPr>
          <w:rFonts w:ascii="Arial" w:hAnsi="Arial" w:cs="Arial"/>
        </w:rPr>
        <w:t xml:space="preserve"> la distribució de la renda des dels anys anteriors a la crisi</w:t>
      </w:r>
      <w:r w:rsidR="00737D4D">
        <w:rPr>
          <w:rFonts w:ascii="Arial" w:hAnsi="Arial" w:cs="Arial"/>
        </w:rPr>
        <w:t xml:space="preserve"> fins l’any 201</w:t>
      </w:r>
      <w:r w:rsidR="00520AD2">
        <w:rPr>
          <w:rFonts w:ascii="Arial" w:hAnsi="Arial" w:cs="Arial"/>
        </w:rPr>
        <w:t>2</w:t>
      </w:r>
      <w:r w:rsidR="00737D4D">
        <w:rPr>
          <w:rFonts w:ascii="Arial" w:hAnsi="Arial" w:cs="Arial"/>
        </w:rPr>
        <w:t xml:space="preserve">. </w:t>
      </w:r>
      <w:r w:rsidR="00F3328F">
        <w:rPr>
          <w:rFonts w:ascii="Arial" w:hAnsi="Arial" w:cs="Arial"/>
        </w:rPr>
        <w:t>Catalunya</w:t>
      </w:r>
      <w:r w:rsidR="00825B76">
        <w:rPr>
          <w:rFonts w:ascii="Arial" w:hAnsi="Arial" w:cs="Arial"/>
        </w:rPr>
        <w:t xml:space="preserve"> i</w:t>
      </w:r>
      <w:r w:rsidR="00770C57">
        <w:rPr>
          <w:rFonts w:ascii="Arial" w:hAnsi="Arial" w:cs="Arial"/>
        </w:rPr>
        <w:t xml:space="preserve"> el conjunt d’Espanya</w:t>
      </w:r>
      <w:r w:rsidR="00737D4D">
        <w:rPr>
          <w:rFonts w:ascii="Arial" w:hAnsi="Arial" w:cs="Arial"/>
        </w:rPr>
        <w:t xml:space="preserve"> desta</w:t>
      </w:r>
      <w:r w:rsidR="00F3328F">
        <w:rPr>
          <w:rFonts w:ascii="Arial" w:hAnsi="Arial" w:cs="Arial"/>
        </w:rPr>
        <w:t>quen</w:t>
      </w:r>
      <w:r w:rsidR="00737D4D">
        <w:rPr>
          <w:rFonts w:ascii="Arial" w:hAnsi="Arial" w:cs="Arial"/>
        </w:rPr>
        <w:t xml:space="preserve"> per ser en els anys que portem de crisi econòmica un</w:t>
      </w:r>
      <w:r w:rsidR="00F3328F">
        <w:rPr>
          <w:rFonts w:ascii="Arial" w:hAnsi="Arial" w:cs="Arial"/>
        </w:rPr>
        <w:t xml:space="preserve">s dels territoris </w:t>
      </w:r>
      <w:r w:rsidR="00737D4D">
        <w:rPr>
          <w:rFonts w:ascii="Arial" w:hAnsi="Arial" w:cs="Arial"/>
        </w:rPr>
        <w:t>on més han augmentat les desigualtats</w:t>
      </w:r>
      <w:r w:rsidR="00B0001A">
        <w:rPr>
          <w:rFonts w:ascii="Arial" w:hAnsi="Arial" w:cs="Arial"/>
        </w:rPr>
        <w:t>.</w:t>
      </w:r>
      <w:r w:rsidR="00825B76">
        <w:rPr>
          <w:rFonts w:ascii="Arial" w:hAnsi="Arial" w:cs="Arial"/>
        </w:rPr>
        <w:t xml:space="preserve"> </w:t>
      </w:r>
      <w:r w:rsidR="00B0001A">
        <w:rPr>
          <w:rFonts w:ascii="Arial" w:hAnsi="Arial" w:cs="Arial"/>
        </w:rPr>
        <w:t>Així, dels 12 països de la UE-2</w:t>
      </w:r>
      <w:r w:rsidR="00412AF4">
        <w:rPr>
          <w:rFonts w:ascii="Arial" w:hAnsi="Arial" w:cs="Arial"/>
        </w:rPr>
        <w:t>8</w:t>
      </w:r>
      <w:r w:rsidR="00B0001A">
        <w:rPr>
          <w:rFonts w:ascii="Arial" w:hAnsi="Arial" w:cs="Arial"/>
        </w:rPr>
        <w:t xml:space="preserve"> on incrementa</w:t>
      </w:r>
      <w:r w:rsidR="00D83E2A">
        <w:rPr>
          <w:rFonts w:ascii="Arial" w:hAnsi="Arial" w:cs="Arial"/>
        </w:rPr>
        <w:t xml:space="preserve"> la desigualtat durant la crisi</w:t>
      </w:r>
      <w:r w:rsidR="00B0001A">
        <w:rPr>
          <w:rFonts w:ascii="Arial" w:hAnsi="Arial" w:cs="Arial"/>
        </w:rPr>
        <w:t>, Catalunya conjuntament amb Espanya és on augmenta més l’índex de Gini.</w:t>
      </w:r>
      <w:r w:rsidR="00825B76">
        <w:rPr>
          <w:rFonts w:ascii="Arial" w:hAnsi="Arial" w:cs="Arial"/>
        </w:rPr>
        <w:t xml:space="preserve"> </w:t>
      </w:r>
      <w:r w:rsidR="00B0001A">
        <w:rPr>
          <w:rFonts w:ascii="Arial" w:hAnsi="Arial" w:cs="Arial"/>
        </w:rPr>
        <w:t>En</w:t>
      </w:r>
      <w:r w:rsidR="00F3328F">
        <w:rPr>
          <w:rFonts w:ascii="Arial" w:hAnsi="Arial" w:cs="Arial"/>
        </w:rPr>
        <w:t xml:space="preserve"> el cas d’Espanya</w:t>
      </w:r>
      <w:r w:rsidR="00825B76">
        <w:rPr>
          <w:rFonts w:ascii="Arial" w:hAnsi="Arial" w:cs="Arial"/>
        </w:rPr>
        <w:t xml:space="preserve"> </w:t>
      </w:r>
      <w:r w:rsidR="00B0001A">
        <w:rPr>
          <w:rFonts w:ascii="Arial" w:hAnsi="Arial" w:cs="Arial"/>
        </w:rPr>
        <w:t xml:space="preserve">es situa </w:t>
      </w:r>
      <w:r w:rsidR="00737D4D">
        <w:rPr>
          <w:rFonts w:ascii="Arial" w:hAnsi="Arial" w:cs="Arial"/>
        </w:rPr>
        <w:t>en</w:t>
      </w:r>
      <w:r w:rsidR="00F24AC1">
        <w:rPr>
          <w:rFonts w:ascii="Arial" w:hAnsi="Arial" w:cs="Arial"/>
        </w:rPr>
        <w:t xml:space="preserve"> el grup de països</w:t>
      </w:r>
      <w:r w:rsidR="00825B76">
        <w:rPr>
          <w:rFonts w:ascii="Arial" w:hAnsi="Arial" w:cs="Arial"/>
        </w:rPr>
        <w:t xml:space="preserve"> </w:t>
      </w:r>
      <w:r w:rsidR="00F24AC1">
        <w:rPr>
          <w:rFonts w:ascii="Arial" w:hAnsi="Arial" w:cs="Arial"/>
        </w:rPr>
        <w:t>de la UE-28 amb un</w:t>
      </w:r>
      <w:r w:rsidR="00737D4D">
        <w:rPr>
          <w:rFonts w:ascii="Arial" w:hAnsi="Arial" w:cs="Arial"/>
        </w:rPr>
        <w:t xml:space="preserve"> nivell m</w:t>
      </w:r>
      <w:r w:rsidR="000D3AA7">
        <w:rPr>
          <w:rFonts w:ascii="Arial" w:hAnsi="Arial" w:cs="Arial"/>
        </w:rPr>
        <w:t xml:space="preserve">és elevat </w:t>
      </w:r>
      <w:r w:rsidR="00737D4D">
        <w:rPr>
          <w:rFonts w:ascii="Arial" w:hAnsi="Arial" w:cs="Arial"/>
        </w:rPr>
        <w:t xml:space="preserve">de desigualtat </w:t>
      </w:r>
      <w:r w:rsidR="00F24AC1">
        <w:rPr>
          <w:rFonts w:ascii="Arial" w:hAnsi="Arial" w:cs="Arial"/>
        </w:rPr>
        <w:t>-</w:t>
      </w:r>
      <w:r w:rsidR="00737D4D">
        <w:rPr>
          <w:rFonts w:ascii="Arial" w:hAnsi="Arial" w:cs="Arial"/>
        </w:rPr>
        <w:t xml:space="preserve">conjuntament amb </w:t>
      </w:r>
      <w:r w:rsidR="00412AF4">
        <w:rPr>
          <w:rFonts w:ascii="Arial" w:hAnsi="Arial" w:cs="Arial"/>
        </w:rPr>
        <w:t xml:space="preserve">Romania, Portugal, Grècia, Lituània, </w:t>
      </w:r>
      <w:r w:rsidR="003A69BF">
        <w:rPr>
          <w:rFonts w:ascii="Arial" w:hAnsi="Arial" w:cs="Arial"/>
        </w:rPr>
        <w:t>Letònia</w:t>
      </w:r>
      <w:r w:rsidR="00737D4D">
        <w:rPr>
          <w:rFonts w:ascii="Arial" w:hAnsi="Arial" w:cs="Arial"/>
        </w:rPr>
        <w:t>,</w:t>
      </w:r>
      <w:r w:rsidR="00412AF4">
        <w:rPr>
          <w:rFonts w:ascii="Arial" w:hAnsi="Arial" w:cs="Arial"/>
        </w:rPr>
        <w:t xml:space="preserve"> i Bulgària</w:t>
      </w:r>
      <w:r w:rsidR="00F24AC1">
        <w:rPr>
          <w:rFonts w:ascii="Arial" w:hAnsi="Arial" w:cs="Arial"/>
        </w:rPr>
        <w:t>-</w:t>
      </w:r>
      <w:r>
        <w:rPr>
          <w:rFonts w:ascii="Arial" w:hAnsi="Arial" w:cs="Arial"/>
        </w:rPr>
        <w:t xml:space="preserve"> amb un valor de 0,35 l’any 201</w:t>
      </w:r>
      <w:r w:rsidR="00412AF4">
        <w:rPr>
          <w:rFonts w:ascii="Arial" w:hAnsi="Arial" w:cs="Arial"/>
        </w:rPr>
        <w:t>3</w:t>
      </w:r>
      <w:r>
        <w:rPr>
          <w:rFonts w:ascii="Arial" w:hAnsi="Arial" w:cs="Arial"/>
        </w:rPr>
        <w:t>,</w:t>
      </w:r>
      <w:r w:rsidR="00B0001A">
        <w:rPr>
          <w:rFonts w:ascii="Arial" w:hAnsi="Arial" w:cs="Arial"/>
        </w:rPr>
        <w:t xml:space="preserve"> mentre que Catalunya</w:t>
      </w:r>
      <w:r>
        <w:rPr>
          <w:rFonts w:ascii="Arial" w:hAnsi="Arial" w:cs="Arial"/>
        </w:rPr>
        <w:t>, amb un valor de 0,3</w:t>
      </w:r>
      <w:r w:rsidR="00412AF4">
        <w:rPr>
          <w:rFonts w:ascii="Arial" w:hAnsi="Arial" w:cs="Arial"/>
        </w:rPr>
        <w:t>3</w:t>
      </w:r>
      <w:r>
        <w:rPr>
          <w:rFonts w:ascii="Arial" w:hAnsi="Arial" w:cs="Arial"/>
        </w:rPr>
        <w:t xml:space="preserve"> l’any 201</w:t>
      </w:r>
      <w:r w:rsidR="00F24AC1">
        <w:rPr>
          <w:rFonts w:ascii="Arial" w:hAnsi="Arial" w:cs="Arial"/>
        </w:rPr>
        <w:t>3</w:t>
      </w:r>
      <w:r>
        <w:rPr>
          <w:rFonts w:ascii="Arial" w:hAnsi="Arial" w:cs="Arial"/>
        </w:rPr>
        <w:t>,</w:t>
      </w:r>
      <w:r w:rsidR="00B0001A">
        <w:rPr>
          <w:rFonts w:ascii="Arial" w:hAnsi="Arial" w:cs="Arial"/>
        </w:rPr>
        <w:t xml:space="preserve"> estaria </w:t>
      </w:r>
      <w:r w:rsidR="00D573A8">
        <w:rPr>
          <w:rFonts w:ascii="Arial" w:hAnsi="Arial" w:cs="Arial"/>
        </w:rPr>
        <w:t xml:space="preserve">també </w:t>
      </w:r>
      <w:r w:rsidR="00B0001A">
        <w:rPr>
          <w:rFonts w:ascii="Arial" w:hAnsi="Arial" w:cs="Arial"/>
        </w:rPr>
        <w:t xml:space="preserve">situada </w:t>
      </w:r>
      <w:r w:rsidR="00E17E7B">
        <w:rPr>
          <w:rFonts w:ascii="Arial" w:hAnsi="Arial" w:cs="Arial"/>
        </w:rPr>
        <w:t>entre el grup de països amb més desigualtats,</w:t>
      </w:r>
      <w:r w:rsidR="00412AF4">
        <w:rPr>
          <w:rFonts w:ascii="Arial" w:hAnsi="Arial" w:cs="Arial"/>
        </w:rPr>
        <w:t xml:space="preserve"> per sobr</w:t>
      </w:r>
      <w:r w:rsidR="00B0001A">
        <w:rPr>
          <w:rFonts w:ascii="Arial" w:hAnsi="Arial" w:cs="Arial"/>
        </w:rPr>
        <w:t>a de la mitjana de la UE-2</w:t>
      </w:r>
      <w:r w:rsidR="00412AF4">
        <w:rPr>
          <w:rFonts w:ascii="Arial" w:hAnsi="Arial" w:cs="Arial"/>
        </w:rPr>
        <w:t>8</w:t>
      </w:r>
      <w:r w:rsidR="0074411D">
        <w:rPr>
          <w:rFonts w:ascii="Arial" w:hAnsi="Arial" w:cs="Arial"/>
        </w:rPr>
        <w:t>.</w:t>
      </w:r>
    </w:p>
    <w:p w:rsidR="00BF39D9" w:rsidRPr="00AA2BE1" w:rsidRDefault="00BF39D9" w:rsidP="00AA2BE1">
      <w:pPr>
        <w:jc w:val="both"/>
        <w:rPr>
          <w:rFonts w:ascii="Arial" w:hAnsi="Arial" w:cs="Arial"/>
          <w:b/>
        </w:rPr>
      </w:pPr>
    </w:p>
    <w:p w:rsidR="00EC19B7" w:rsidRPr="00007822" w:rsidRDefault="00EC19B7" w:rsidP="00EC19B7">
      <w:pPr>
        <w:spacing w:after="0"/>
        <w:rPr>
          <w:rFonts w:ascii="Arial" w:hAnsi="Arial" w:cs="Arial"/>
          <w:b/>
          <w:sz w:val="20"/>
          <w:szCs w:val="20"/>
        </w:rPr>
      </w:pPr>
      <w:r w:rsidRPr="00F53289">
        <w:rPr>
          <w:rFonts w:ascii="Arial" w:hAnsi="Arial" w:cs="Arial"/>
          <w:b/>
          <w:sz w:val="20"/>
          <w:szCs w:val="20"/>
        </w:rPr>
        <w:lastRenderedPageBreak/>
        <w:t>Evolució de l’índex de Gini de la renda disponible equivalent. 200</w:t>
      </w:r>
      <w:r>
        <w:rPr>
          <w:rFonts w:ascii="Arial" w:hAnsi="Arial" w:cs="Arial"/>
          <w:b/>
          <w:sz w:val="20"/>
          <w:szCs w:val="20"/>
        </w:rPr>
        <w:t>8</w:t>
      </w:r>
      <w:r w:rsidRPr="00F53289">
        <w:rPr>
          <w:rFonts w:ascii="Arial" w:hAnsi="Arial" w:cs="Arial"/>
          <w:b/>
          <w:sz w:val="20"/>
          <w:szCs w:val="20"/>
        </w:rPr>
        <w:t>-201</w:t>
      </w:r>
      <w:r>
        <w:rPr>
          <w:rFonts w:ascii="Arial" w:hAnsi="Arial" w:cs="Arial"/>
          <w:b/>
          <w:sz w:val="20"/>
          <w:szCs w:val="20"/>
        </w:rPr>
        <w:t>3</w:t>
      </w:r>
    </w:p>
    <w:p w:rsidR="00EC19B7" w:rsidRDefault="008E1C35" w:rsidP="00EC19B7">
      <w:pPr>
        <w:spacing w:after="0"/>
        <w:jc w:val="both"/>
        <w:rPr>
          <w:rFonts w:ascii="Arial" w:hAnsi="Arial" w:cs="Arial"/>
          <w:sz w:val="16"/>
          <w:szCs w:val="16"/>
        </w:rPr>
      </w:pPr>
      <w:r w:rsidRPr="008E1C35">
        <w:rPr>
          <w:noProof/>
          <w:szCs w:val="16"/>
          <w:lang w:eastAsia="ca-ES"/>
        </w:rPr>
        <w:drawing>
          <wp:inline distT="0" distB="0" distL="0" distR="0">
            <wp:extent cx="5400040" cy="2885083"/>
            <wp:effectExtent l="19050" t="0" r="0" b="0"/>
            <wp:docPr id="30"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EC19B7" w:rsidRDefault="00EC19B7" w:rsidP="00EC19B7">
      <w:pPr>
        <w:spacing w:after="0"/>
        <w:jc w:val="both"/>
        <w:rPr>
          <w:rFonts w:ascii="Arial" w:hAnsi="Arial" w:cs="Arial"/>
          <w:sz w:val="16"/>
          <w:szCs w:val="16"/>
        </w:rPr>
      </w:pPr>
      <w:r>
        <w:rPr>
          <w:rFonts w:ascii="Arial" w:hAnsi="Arial" w:cs="Arial"/>
          <w:sz w:val="16"/>
          <w:szCs w:val="16"/>
        </w:rPr>
        <w:t>Nota:el darrer valor de la UE-28 és de l’any 2012.</w:t>
      </w:r>
    </w:p>
    <w:p w:rsidR="00EC19B7" w:rsidRPr="0039529B" w:rsidRDefault="00EC19B7" w:rsidP="00EC19B7">
      <w:pPr>
        <w:jc w:val="both"/>
        <w:rPr>
          <w:rFonts w:ascii="Arial" w:hAnsi="Arial" w:cs="Arial"/>
          <w:sz w:val="16"/>
          <w:szCs w:val="16"/>
        </w:rPr>
      </w:pPr>
      <w:r w:rsidRPr="00A83FB2">
        <w:rPr>
          <w:rFonts w:ascii="Arial" w:hAnsi="Arial" w:cs="Arial"/>
          <w:sz w:val="16"/>
          <w:szCs w:val="16"/>
        </w:rPr>
        <w:t>Font: Eurostat i Idescat</w:t>
      </w:r>
      <w:r>
        <w:rPr>
          <w:rFonts w:ascii="Arial" w:hAnsi="Arial" w:cs="Arial"/>
          <w:sz w:val="16"/>
          <w:szCs w:val="16"/>
        </w:rPr>
        <w:t xml:space="preserve"> a partir de l’ECV base 2013.</w:t>
      </w:r>
    </w:p>
    <w:p w:rsidR="00B2349F" w:rsidRPr="00AA2BE1" w:rsidRDefault="00B2349F" w:rsidP="00220E83">
      <w:pPr>
        <w:jc w:val="both"/>
        <w:rPr>
          <w:rFonts w:ascii="Arial" w:hAnsi="Arial" w:cs="Arial"/>
        </w:rPr>
      </w:pPr>
    </w:p>
    <w:p w:rsidR="00EC19B7" w:rsidRPr="00007822" w:rsidRDefault="00EC19B7" w:rsidP="00EC19B7">
      <w:pPr>
        <w:spacing w:after="0"/>
        <w:rPr>
          <w:rFonts w:ascii="Arial" w:hAnsi="Arial" w:cs="Arial"/>
          <w:b/>
          <w:sz w:val="20"/>
          <w:szCs w:val="20"/>
        </w:rPr>
      </w:pPr>
      <w:r w:rsidRPr="00F53289">
        <w:rPr>
          <w:rFonts w:ascii="Arial" w:hAnsi="Arial" w:cs="Arial"/>
          <w:b/>
          <w:sz w:val="20"/>
          <w:szCs w:val="20"/>
        </w:rPr>
        <w:t>Evolució de l’índex de Gini de la renda disponible equivalent. 200</w:t>
      </w:r>
      <w:r>
        <w:rPr>
          <w:rFonts w:ascii="Arial" w:hAnsi="Arial" w:cs="Arial"/>
          <w:b/>
          <w:sz w:val="20"/>
          <w:szCs w:val="20"/>
        </w:rPr>
        <w:t>4</w:t>
      </w:r>
      <w:r w:rsidRPr="00F53289">
        <w:rPr>
          <w:rFonts w:ascii="Arial" w:hAnsi="Arial" w:cs="Arial"/>
          <w:b/>
          <w:sz w:val="20"/>
          <w:szCs w:val="20"/>
        </w:rPr>
        <w:t>-201</w:t>
      </w:r>
      <w:r>
        <w:rPr>
          <w:rFonts w:ascii="Arial" w:hAnsi="Arial" w:cs="Arial"/>
          <w:b/>
          <w:sz w:val="20"/>
          <w:szCs w:val="20"/>
        </w:rPr>
        <w:t>3</w:t>
      </w:r>
    </w:p>
    <w:p w:rsidR="00EC19B7" w:rsidRPr="00EC19B7" w:rsidRDefault="00EC19B7" w:rsidP="00EC19B7">
      <w:pPr>
        <w:spacing w:after="0"/>
        <w:jc w:val="both"/>
        <w:rPr>
          <w:rFonts w:ascii="Arial" w:hAnsi="Arial" w:cs="Arial"/>
          <w:sz w:val="16"/>
          <w:szCs w:val="16"/>
        </w:rPr>
      </w:pPr>
      <w:r w:rsidRPr="00EC19B7">
        <w:rPr>
          <w:noProof/>
          <w:lang w:eastAsia="ca-ES"/>
        </w:rPr>
        <w:drawing>
          <wp:inline distT="0" distB="0" distL="0" distR="0">
            <wp:extent cx="5400040" cy="2883228"/>
            <wp:effectExtent l="19050" t="0" r="0" b="0"/>
            <wp:docPr id="42"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srcRect/>
                    <a:stretch>
                      <a:fillRect/>
                    </a:stretch>
                  </pic:blipFill>
                  <pic:spPr bwMode="auto">
                    <a:xfrm>
                      <a:off x="0" y="0"/>
                      <a:ext cx="5400040" cy="2883228"/>
                    </a:xfrm>
                    <a:prstGeom prst="rect">
                      <a:avLst/>
                    </a:prstGeom>
                    <a:noFill/>
                    <a:ln w="9525">
                      <a:noFill/>
                      <a:miter lim="800000"/>
                      <a:headEnd/>
                      <a:tailEnd/>
                    </a:ln>
                  </pic:spPr>
                </pic:pic>
              </a:graphicData>
            </a:graphic>
          </wp:inline>
        </w:drawing>
      </w:r>
    </w:p>
    <w:p w:rsidR="00EC19B7" w:rsidRPr="00EC19B7" w:rsidRDefault="00EC19B7" w:rsidP="00EC19B7">
      <w:pPr>
        <w:spacing w:after="0"/>
        <w:jc w:val="both"/>
        <w:rPr>
          <w:rFonts w:ascii="Arial" w:hAnsi="Arial" w:cs="Arial"/>
          <w:sz w:val="16"/>
          <w:szCs w:val="16"/>
        </w:rPr>
      </w:pPr>
      <w:r w:rsidRPr="00EC19B7">
        <w:rPr>
          <w:rFonts w:ascii="Arial" w:hAnsi="Arial" w:cs="Arial"/>
          <w:sz w:val="16"/>
          <w:szCs w:val="16"/>
        </w:rPr>
        <w:t>Nota:</w:t>
      </w:r>
      <w:r>
        <w:rPr>
          <w:rFonts w:ascii="Arial" w:hAnsi="Arial" w:cs="Arial"/>
          <w:sz w:val="16"/>
          <w:szCs w:val="16"/>
        </w:rPr>
        <w:t xml:space="preserve"> Les dades 2004-2007 de la UE són d’UE-27.</w:t>
      </w:r>
    </w:p>
    <w:p w:rsidR="00EC19B7" w:rsidRDefault="00EC19B7" w:rsidP="0039529B">
      <w:pPr>
        <w:jc w:val="both"/>
        <w:rPr>
          <w:rFonts w:ascii="Arial" w:hAnsi="Arial" w:cs="Arial"/>
          <w:sz w:val="16"/>
          <w:szCs w:val="16"/>
        </w:rPr>
      </w:pPr>
      <w:r w:rsidRPr="00A83FB2">
        <w:rPr>
          <w:rFonts w:ascii="Arial" w:hAnsi="Arial" w:cs="Arial"/>
          <w:sz w:val="16"/>
          <w:szCs w:val="16"/>
        </w:rPr>
        <w:t>Font: Eurostat i Idescat</w:t>
      </w:r>
      <w:r>
        <w:rPr>
          <w:rFonts w:ascii="Arial" w:hAnsi="Arial" w:cs="Arial"/>
          <w:sz w:val="16"/>
          <w:szCs w:val="16"/>
        </w:rPr>
        <w:t xml:space="preserve"> a partir de l’ECV base 2013. Le dades 2004-2007 per Espanya i Catalunya són a partir de l’ECV base 2004.</w:t>
      </w:r>
    </w:p>
    <w:p w:rsidR="00BF39D9" w:rsidRDefault="00593AD1" w:rsidP="00EE1D8A">
      <w:pPr>
        <w:spacing w:after="0" w:line="240" w:lineRule="auto"/>
        <w:rPr>
          <w:rFonts w:ascii="Arial" w:hAnsi="Arial" w:cs="Arial"/>
        </w:rPr>
      </w:pPr>
      <w:r>
        <w:rPr>
          <w:rFonts w:ascii="Arial" w:hAnsi="Arial" w:cs="Arial"/>
        </w:rPr>
        <w:br w:type="page"/>
      </w:r>
    </w:p>
    <w:p w:rsidR="007C184F" w:rsidRPr="00E848CD" w:rsidRDefault="0062650A" w:rsidP="00220E83">
      <w:pPr>
        <w:jc w:val="both"/>
        <w:rPr>
          <w:rFonts w:ascii="Arial" w:hAnsi="Arial" w:cs="Arial"/>
          <w:b/>
          <w:i/>
        </w:rPr>
      </w:pPr>
      <w:r w:rsidRPr="00E848CD">
        <w:rPr>
          <w:rFonts w:ascii="Arial" w:hAnsi="Arial" w:cs="Arial"/>
          <w:b/>
          <w:i/>
        </w:rPr>
        <w:lastRenderedPageBreak/>
        <w:t>L’índex</w:t>
      </w:r>
      <w:r w:rsidR="007C184F" w:rsidRPr="00E848CD">
        <w:rPr>
          <w:rFonts w:ascii="Arial" w:hAnsi="Arial" w:cs="Arial"/>
          <w:b/>
          <w:i/>
        </w:rPr>
        <w:t xml:space="preserve"> S80/S20</w:t>
      </w:r>
    </w:p>
    <w:p w:rsidR="009B76A9" w:rsidRDefault="009B76A9" w:rsidP="00220E83">
      <w:pPr>
        <w:jc w:val="both"/>
        <w:rPr>
          <w:rFonts w:ascii="Arial" w:hAnsi="Arial" w:cs="Arial"/>
        </w:rPr>
      </w:pPr>
      <w:r>
        <w:rPr>
          <w:rFonts w:ascii="Arial" w:hAnsi="Arial" w:cs="Arial"/>
        </w:rPr>
        <w:t>L’índex S80/20</w:t>
      </w:r>
      <w:r>
        <w:rPr>
          <w:rStyle w:val="Refdenotaalpie"/>
          <w:rFonts w:ascii="Arial" w:hAnsi="Arial" w:cs="Arial"/>
        </w:rPr>
        <w:footnoteReference w:id="9"/>
      </w:r>
      <w:r w:rsidR="00C15E67">
        <w:rPr>
          <w:rFonts w:ascii="Arial" w:hAnsi="Arial" w:cs="Arial"/>
        </w:rPr>
        <w:t>, la raó entre els ingressos del 20% de la població amb ingressos més elevats i els ingresso</w:t>
      </w:r>
      <w:r w:rsidR="00516FBB">
        <w:rPr>
          <w:rFonts w:ascii="Arial" w:hAnsi="Arial" w:cs="Arial"/>
        </w:rPr>
        <w:t>s</w:t>
      </w:r>
      <w:r w:rsidR="00C15E67">
        <w:rPr>
          <w:rFonts w:ascii="Arial" w:hAnsi="Arial" w:cs="Arial"/>
        </w:rPr>
        <w:t xml:space="preserve"> del 20% de la població amb menors ingressos,</w:t>
      </w:r>
      <w:r w:rsidR="00C679F7">
        <w:rPr>
          <w:rFonts w:ascii="Arial" w:hAnsi="Arial" w:cs="Arial"/>
        </w:rPr>
        <w:t xml:space="preserve"> </w:t>
      </w:r>
      <w:r w:rsidR="00C15E67">
        <w:rPr>
          <w:rFonts w:ascii="Arial" w:hAnsi="Arial" w:cs="Arial"/>
        </w:rPr>
        <w:t xml:space="preserve">també </w:t>
      </w:r>
      <w:r>
        <w:rPr>
          <w:rFonts w:ascii="Arial" w:hAnsi="Arial" w:cs="Arial"/>
        </w:rPr>
        <w:t>mostra aquest empitjorament en la distribució de la renda a Catalunya</w:t>
      </w:r>
      <w:r w:rsidR="003D1D55">
        <w:rPr>
          <w:rFonts w:ascii="Arial" w:hAnsi="Arial" w:cs="Arial"/>
        </w:rPr>
        <w:t>,</w:t>
      </w:r>
      <w:r w:rsidR="00C15E67">
        <w:rPr>
          <w:rFonts w:ascii="Arial" w:hAnsi="Arial" w:cs="Arial"/>
        </w:rPr>
        <w:t xml:space="preserve"> i</w:t>
      </w:r>
      <w:r w:rsidR="003D1D55">
        <w:rPr>
          <w:rFonts w:ascii="Arial" w:hAnsi="Arial" w:cs="Arial"/>
        </w:rPr>
        <w:t xml:space="preserve"> a</w:t>
      </w:r>
      <w:r w:rsidR="00C15E67">
        <w:rPr>
          <w:rFonts w:ascii="Arial" w:hAnsi="Arial" w:cs="Arial"/>
        </w:rPr>
        <w:t xml:space="preserve"> Espanya</w:t>
      </w:r>
      <w:r w:rsidR="003D1D55">
        <w:rPr>
          <w:rFonts w:ascii="Arial" w:hAnsi="Arial" w:cs="Arial"/>
        </w:rPr>
        <w:t>, a</w:t>
      </w:r>
      <w:r w:rsidR="00D83E2A">
        <w:rPr>
          <w:rFonts w:ascii="Arial" w:hAnsi="Arial" w:cs="Arial"/>
        </w:rPr>
        <w:t xml:space="preserve"> partir de la crisi</w:t>
      </w:r>
      <w:r>
        <w:rPr>
          <w:rFonts w:ascii="Arial" w:hAnsi="Arial" w:cs="Arial"/>
        </w:rPr>
        <w:t>.</w:t>
      </w:r>
      <w:r w:rsidR="00B0001A">
        <w:rPr>
          <w:rFonts w:ascii="Arial" w:hAnsi="Arial" w:cs="Arial"/>
        </w:rPr>
        <w:t xml:space="preserve"> El valor d’aquest índex en els països de la UE-2</w:t>
      </w:r>
      <w:r w:rsidR="00EE69F1">
        <w:rPr>
          <w:rFonts w:ascii="Arial" w:hAnsi="Arial" w:cs="Arial"/>
        </w:rPr>
        <w:t>8</w:t>
      </w:r>
      <w:r w:rsidR="00B0001A">
        <w:rPr>
          <w:rFonts w:ascii="Arial" w:hAnsi="Arial" w:cs="Arial"/>
        </w:rPr>
        <w:t xml:space="preserve"> entre els anys 199</w:t>
      </w:r>
      <w:r w:rsidR="00EE69F1">
        <w:rPr>
          <w:rFonts w:ascii="Arial" w:hAnsi="Arial" w:cs="Arial"/>
        </w:rPr>
        <w:t>8</w:t>
      </w:r>
      <w:r w:rsidR="00B0001A">
        <w:rPr>
          <w:rFonts w:ascii="Arial" w:hAnsi="Arial" w:cs="Arial"/>
        </w:rPr>
        <w:t>-201</w:t>
      </w:r>
      <w:r w:rsidR="00EE69F1">
        <w:rPr>
          <w:rFonts w:ascii="Arial" w:hAnsi="Arial" w:cs="Arial"/>
        </w:rPr>
        <w:t>2</w:t>
      </w:r>
      <w:r w:rsidR="00825B76">
        <w:rPr>
          <w:rFonts w:ascii="Arial" w:hAnsi="Arial" w:cs="Arial"/>
        </w:rPr>
        <w:t xml:space="preserve"> </w:t>
      </w:r>
      <w:r w:rsidR="00EE69F1">
        <w:rPr>
          <w:rFonts w:ascii="Arial" w:hAnsi="Arial" w:cs="Arial"/>
        </w:rPr>
        <w:t>s’ha situat</w:t>
      </w:r>
      <w:r w:rsidR="00B0001A">
        <w:rPr>
          <w:rFonts w:ascii="Arial" w:hAnsi="Arial" w:cs="Arial"/>
        </w:rPr>
        <w:t xml:space="preserve"> entre el</w:t>
      </w:r>
      <w:r w:rsidR="0053513B">
        <w:rPr>
          <w:rFonts w:ascii="Arial" w:hAnsi="Arial" w:cs="Arial"/>
        </w:rPr>
        <w:t xml:space="preserve"> valor mínim de Dinamarca l’any 199</w:t>
      </w:r>
      <w:r w:rsidR="00EE69F1">
        <w:rPr>
          <w:rFonts w:ascii="Arial" w:hAnsi="Arial" w:cs="Arial"/>
        </w:rPr>
        <w:t>8</w:t>
      </w:r>
      <w:r w:rsidR="0053513B">
        <w:rPr>
          <w:rFonts w:ascii="Arial" w:hAnsi="Arial" w:cs="Arial"/>
        </w:rPr>
        <w:t>,</w:t>
      </w:r>
      <w:r w:rsidR="00825B76">
        <w:rPr>
          <w:rFonts w:ascii="Arial" w:hAnsi="Arial" w:cs="Arial"/>
        </w:rPr>
        <w:t xml:space="preserve"> </w:t>
      </w:r>
      <w:r w:rsidR="0053513B">
        <w:rPr>
          <w:rFonts w:ascii="Arial" w:hAnsi="Arial" w:cs="Arial"/>
        </w:rPr>
        <w:t xml:space="preserve">de </w:t>
      </w:r>
      <w:r w:rsidR="00EE69F1">
        <w:rPr>
          <w:rFonts w:ascii="Arial" w:hAnsi="Arial" w:cs="Arial"/>
        </w:rPr>
        <w:t>3</w:t>
      </w:r>
      <w:r w:rsidR="00B0001A">
        <w:rPr>
          <w:rFonts w:ascii="Arial" w:hAnsi="Arial" w:cs="Arial"/>
        </w:rPr>
        <w:t>, i el</w:t>
      </w:r>
      <w:r w:rsidR="0053513B">
        <w:rPr>
          <w:rFonts w:ascii="Arial" w:hAnsi="Arial" w:cs="Arial"/>
        </w:rPr>
        <w:t>s valors màxims de desigualtat de Letònia i Romania els anys 2005 i 2006</w:t>
      </w:r>
      <w:r w:rsidR="00684F98">
        <w:rPr>
          <w:rFonts w:ascii="Arial" w:hAnsi="Arial" w:cs="Arial"/>
        </w:rPr>
        <w:t>, de 7,8</w:t>
      </w:r>
      <w:r w:rsidR="0053513B">
        <w:rPr>
          <w:rFonts w:ascii="Arial" w:hAnsi="Arial" w:cs="Arial"/>
        </w:rPr>
        <w:t>.</w:t>
      </w:r>
    </w:p>
    <w:p w:rsidR="00EE69F1" w:rsidRDefault="005B1ECD" w:rsidP="00220E83">
      <w:pPr>
        <w:jc w:val="both"/>
        <w:rPr>
          <w:rFonts w:ascii="Arial" w:hAnsi="Arial" w:cs="Arial"/>
        </w:rPr>
      </w:pPr>
      <w:r>
        <w:rPr>
          <w:rFonts w:ascii="Arial" w:hAnsi="Arial" w:cs="Arial"/>
        </w:rPr>
        <w:t>Catalunya en els anys previs a la crisi, 2004-2007, l’índex S80/20 mostrava un valor mitjà de 4,7, just per sota del nivell mitja del conjunt de països de la UE-27, que en aquest mateixos anys mantenien un valor mitjà d’aquest índex del 5,0. Espanya mostrava un nivell de desigualtat més elevat</w:t>
      </w:r>
      <w:r w:rsidR="00F14D0E">
        <w:rPr>
          <w:rFonts w:ascii="Arial" w:hAnsi="Arial" w:cs="Arial"/>
        </w:rPr>
        <w:t>, amb un valor de l’índex S80/20 del 5,6, només superada en nivell de desigualtat per sis països del conjunt de la UE-28 (Polònia, Portugal, Lituània, Letònia, Grècia i Romania).</w:t>
      </w:r>
    </w:p>
    <w:p w:rsidR="00F14D0E" w:rsidRDefault="00684F98" w:rsidP="00220E83">
      <w:pPr>
        <w:jc w:val="both"/>
        <w:rPr>
          <w:rFonts w:ascii="Arial" w:hAnsi="Arial" w:cs="Arial"/>
        </w:rPr>
      </w:pPr>
      <w:r>
        <w:rPr>
          <w:rFonts w:ascii="Arial" w:hAnsi="Arial" w:cs="Arial"/>
        </w:rPr>
        <w:t xml:space="preserve">Al llarg dels anys de crisi té lloc </w:t>
      </w:r>
      <w:r w:rsidR="00F14D0E">
        <w:rPr>
          <w:rFonts w:ascii="Arial" w:hAnsi="Arial" w:cs="Arial"/>
        </w:rPr>
        <w:t>un increment de les desigualtats</w:t>
      </w:r>
      <w:r>
        <w:rPr>
          <w:rFonts w:ascii="Arial" w:hAnsi="Arial" w:cs="Arial"/>
        </w:rPr>
        <w:t>,</w:t>
      </w:r>
      <w:r w:rsidR="00F14D0E">
        <w:rPr>
          <w:rFonts w:ascii="Arial" w:hAnsi="Arial" w:cs="Arial"/>
        </w:rPr>
        <w:t xml:space="preserve"> relativament intens</w:t>
      </w:r>
      <w:r>
        <w:rPr>
          <w:rFonts w:ascii="Arial" w:hAnsi="Arial" w:cs="Arial"/>
        </w:rPr>
        <w:t>,</w:t>
      </w:r>
      <w:r w:rsidR="00F14D0E">
        <w:rPr>
          <w:rFonts w:ascii="Arial" w:hAnsi="Arial" w:cs="Arial"/>
        </w:rPr>
        <w:t xml:space="preserve"> tant a Catalunya com a Espanya, que contrasta amb la lleugera reducció de les desigualtats en termes mitjans d’aquest indicador </w:t>
      </w:r>
      <w:r>
        <w:rPr>
          <w:rFonts w:ascii="Arial" w:hAnsi="Arial" w:cs="Arial"/>
        </w:rPr>
        <w:t>per l’agregat d</w:t>
      </w:r>
      <w:r w:rsidR="00F14D0E">
        <w:rPr>
          <w:rFonts w:ascii="Arial" w:hAnsi="Arial" w:cs="Arial"/>
        </w:rPr>
        <w:t>el conjunt de països de la UE-2</w:t>
      </w:r>
      <w:r w:rsidR="00825B76">
        <w:rPr>
          <w:rFonts w:ascii="Arial" w:hAnsi="Arial" w:cs="Arial"/>
        </w:rPr>
        <w:t>8</w:t>
      </w:r>
      <w:r w:rsidR="00F14D0E">
        <w:rPr>
          <w:rFonts w:ascii="Arial" w:hAnsi="Arial" w:cs="Arial"/>
        </w:rPr>
        <w:t>.</w:t>
      </w:r>
    </w:p>
    <w:p w:rsidR="006930E7" w:rsidRDefault="0053513B" w:rsidP="00220E83">
      <w:pPr>
        <w:jc w:val="both"/>
        <w:rPr>
          <w:rFonts w:ascii="Arial" w:hAnsi="Arial" w:cs="Arial"/>
        </w:rPr>
      </w:pPr>
      <w:r>
        <w:rPr>
          <w:rFonts w:ascii="Arial" w:hAnsi="Arial" w:cs="Arial"/>
        </w:rPr>
        <w:t xml:space="preserve">A Catalunya </w:t>
      </w:r>
      <w:r w:rsidR="009B76A9">
        <w:rPr>
          <w:rFonts w:ascii="Arial" w:hAnsi="Arial" w:cs="Arial"/>
        </w:rPr>
        <w:t>l’í</w:t>
      </w:r>
      <w:r w:rsidR="0074411D">
        <w:rPr>
          <w:rFonts w:ascii="Arial" w:hAnsi="Arial" w:cs="Arial"/>
        </w:rPr>
        <w:t xml:space="preserve">ndex S80/20 </w:t>
      </w:r>
      <w:r w:rsidR="00AF397A">
        <w:rPr>
          <w:rFonts w:ascii="Arial" w:hAnsi="Arial" w:cs="Arial"/>
        </w:rPr>
        <w:t xml:space="preserve">es situa en termes mitjans dels anys 2008-2012 </w:t>
      </w:r>
      <w:r w:rsidR="00684F98">
        <w:rPr>
          <w:rFonts w:ascii="Arial" w:hAnsi="Arial" w:cs="Arial"/>
        </w:rPr>
        <w:t>en</w:t>
      </w:r>
      <w:r w:rsidR="0074411D">
        <w:rPr>
          <w:rFonts w:ascii="Arial" w:hAnsi="Arial" w:cs="Arial"/>
        </w:rPr>
        <w:t xml:space="preserve"> 5,</w:t>
      </w:r>
      <w:r w:rsidR="00AF397A">
        <w:rPr>
          <w:rFonts w:ascii="Arial" w:hAnsi="Arial" w:cs="Arial"/>
        </w:rPr>
        <w:t>8, i</w:t>
      </w:r>
      <w:r w:rsidR="00684F98">
        <w:rPr>
          <w:rFonts w:ascii="Arial" w:hAnsi="Arial" w:cs="Arial"/>
        </w:rPr>
        <w:t xml:space="preserve"> segueix incrementant </w:t>
      </w:r>
      <w:r w:rsidR="00AF397A">
        <w:rPr>
          <w:rFonts w:ascii="Arial" w:hAnsi="Arial" w:cs="Arial"/>
        </w:rPr>
        <w:t>l’any 2013</w:t>
      </w:r>
      <w:r w:rsidR="00684F98">
        <w:rPr>
          <w:rFonts w:ascii="Arial" w:hAnsi="Arial" w:cs="Arial"/>
        </w:rPr>
        <w:t xml:space="preserve"> fins al 6,5</w:t>
      </w:r>
      <w:r w:rsidR="00AF397A">
        <w:rPr>
          <w:rFonts w:ascii="Arial" w:hAnsi="Arial" w:cs="Arial"/>
        </w:rPr>
        <w:t>,</w:t>
      </w:r>
      <w:r w:rsidR="00825B76">
        <w:rPr>
          <w:rFonts w:ascii="Arial" w:hAnsi="Arial" w:cs="Arial"/>
        </w:rPr>
        <w:t xml:space="preserve"> </w:t>
      </w:r>
      <w:r w:rsidR="006930E7">
        <w:rPr>
          <w:rFonts w:ascii="Arial" w:hAnsi="Arial" w:cs="Arial"/>
        </w:rPr>
        <w:t>a</w:t>
      </w:r>
      <w:r>
        <w:rPr>
          <w:rFonts w:ascii="Arial" w:hAnsi="Arial" w:cs="Arial"/>
        </w:rPr>
        <w:t>ugmentant la distància de renda entre els quintils superiors i inferiors de la distribució d’</w:t>
      </w:r>
      <w:r w:rsidR="006930E7">
        <w:rPr>
          <w:rFonts w:ascii="Arial" w:hAnsi="Arial" w:cs="Arial"/>
        </w:rPr>
        <w:t>i</w:t>
      </w:r>
      <w:r>
        <w:rPr>
          <w:rFonts w:ascii="Arial" w:hAnsi="Arial" w:cs="Arial"/>
        </w:rPr>
        <w:t>ngressos</w:t>
      </w:r>
      <w:r w:rsidR="00AF397A">
        <w:rPr>
          <w:rFonts w:ascii="Arial" w:hAnsi="Arial" w:cs="Arial"/>
        </w:rPr>
        <w:t xml:space="preserve"> en els anys de crisi. A Espanya</w:t>
      </w:r>
      <w:r w:rsidR="00684F98">
        <w:rPr>
          <w:rFonts w:ascii="Arial" w:hAnsi="Arial" w:cs="Arial"/>
        </w:rPr>
        <w:t>,</w:t>
      </w:r>
      <w:r w:rsidR="00AF397A">
        <w:rPr>
          <w:rFonts w:ascii="Arial" w:hAnsi="Arial" w:cs="Arial"/>
        </w:rPr>
        <w:t xml:space="preserve"> amb una evolució similar</w:t>
      </w:r>
      <w:r w:rsidR="00684F98">
        <w:rPr>
          <w:rFonts w:ascii="Arial" w:hAnsi="Arial" w:cs="Arial"/>
        </w:rPr>
        <w:t>,</w:t>
      </w:r>
      <w:r w:rsidR="00AF397A">
        <w:rPr>
          <w:rFonts w:ascii="Arial" w:hAnsi="Arial" w:cs="Arial"/>
        </w:rPr>
        <w:t xml:space="preserve"> l’indicador és del 6</w:t>
      </w:r>
      <w:r w:rsidR="0070150B">
        <w:rPr>
          <w:rFonts w:ascii="Arial" w:hAnsi="Arial" w:cs="Arial"/>
        </w:rPr>
        <w:t>,2 en els anys 2008-2</w:t>
      </w:r>
      <w:r w:rsidR="00AF397A">
        <w:rPr>
          <w:rFonts w:ascii="Arial" w:hAnsi="Arial" w:cs="Arial"/>
        </w:rPr>
        <w:t>012 i del 6,8 l’any 2013.</w:t>
      </w:r>
      <w:r w:rsidR="00825B76">
        <w:rPr>
          <w:rFonts w:ascii="Arial" w:hAnsi="Arial" w:cs="Arial"/>
        </w:rPr>
        <w:t xml:space="preserve"> </w:t>
      </w:r>
      <w:r w:rsidR="00AF397A">
        <w:rPr>
          <w:rFonts w:ascii="Arial" w:hAnsi="Arial" w:cs="Arial"/>
        </w:rPr>
        <w:t>Pel que fa a l’evolució en t</w:t>
      </w:r>
      <w:r w:rsidR="00322ECA">
        <w:rPr>
          <w:rFonts w:ascii="Arial" w:hAnsi="Arial" w:cs="Arial"/>
        </w:rPr>
        <w:t>ermes mitjans en el conjunt dels pa</w:t>
      </w:r>
      <w:r w:rsidR="009B76A9">
        <w:rPr>
          <w:rFonts w:ascii="Arial" w:hAnsi="Arial" w:cs="Arial"/>
        </w:rPr>
        <w:t>ï</w:t>
      </w:r>
      <w:r w:rsidR="00322ECA">
        <w:rPr>
          <w:rFonts w:ascii="Arial" w:hAnsi="Arial" w:cs="Arial"/>
        </w:rPr>
        <w:t>sos de la UE-2</w:t>
      </w:r>
      <w:r w:rsidR="00AF397A">
        <w:rPr>
          <w:rFonts w:ascii="Arial" w:hAnsi="Arial" w:cs="Arial"/>
        </w:rPr>
        <w:t>8</w:t>
      </w:r>
      <w:r w:rsidR="00684F98">
        <w:rPr>
          <w:rFonts w:ascii="Arial" w:hAnsi="Arial" w:cs="Arial"/>
        </w:rPr>
        <w:t>,</w:t>
      </w:r>
      <w:r w:rsidR="00AF397A">
        <w:rPr>
          <w:rFonts w:ascii="Arial" w:hAnsi="Arial" w:cs="Arial"/>
        </w:rPr>
        <w:t xml:space="preserve"> l’indicador </w:t>
      </w:r>
      <w:r w:rsidR="00322ECA">
        <w:rPr>
          <w:rFonts w:ascii="Arial" w:hAnsi="Arial" w:cs="Arial"/>
        </w:rPr>
        <w:t>s’ha m</w:t>
      </w:r>
      <w:r w:rsidR="009B76A9">
        <w:rPr>
          <w:rFonts w:ascii="Arial" w:hAnsi="Arial" w:cs="Arial"/>
        </w:rPr>
        <w:t>a</w:t>
      </w:r>
      <w:r w:rsidR="00322ECA">
        <w:rPr>
          <w:rFonts w:ascii="Arial" w:hAnsi="Arial" w:cs="Arial"/>
        </w:rPr>
        <w:t>n</w:t>
      </w:r>
      <w:r w:rsidR="009B76A9">
        <w:rPr>
          <w:rFonts w:ascii="Arial" w:hAnsi="Arial" w:cs="Arial"/>
        </w:rPr>
        <w:t>t</w:t>
      </w:r>
      <w:r w:rsidR="00322ECA">
        <w:rPr>
          <w:rFonts w:ascii="Arial" w:hAnsi="Arial" w:cs="Arial"/>
        </w:rPr>
        <w:t xml:space="preserve">ingut </w:t>
      </w:r>
      <w:r w:rsidR="00AF397A">
        <w:rPr>
          <w:rFonts w:ascii="Arial" w:hAnsi="Arial" w:cs="Arial"/>
        </w:rPr>
        <w:t>en els anys de crisi</w:t>
      </w:r>
      <w:r w:rsidR="00322ECA">
        <w:rPr>
          <w:rFonts w:ascii="Arial" w:hAnsi="Arial" w:cs="Arial"/>
        </w:rPr>
        <w:t xml:space="preserve"> en valors de</w:t>
      </w:r>
      <w:r w:rsidR="00C15E67">
        <w:rPr>
          <w:rFonts w:ascii="Arial" w:hAnsi="Arial" w:cs="Arial"/>
        </w:rPr>
        <w:t>l</w:t>
      </w:r>
      <w:r w:rsidR="00322ECA">
        <w:rPr>
          <w:rFonts w:ascii="Arial" w:hAnsi="Arial" w:cs="Arial"/>
        </w:rPr>
        <w:t xml:space="preserve"> 5,0. </w:t>
      </w:r>
      <w:r w:rsidR="00F4426C">
        <w:rPr>
          <w:rFonts w:ascii="Arial" w:hAnsi="Arial" w:cs="Arial"/>
        </w:rPr>
        <w:t xml:space="preserve">Espanya es </w:t>
      </w:r>
      <w:r w:rsidR="00AF397A">
        <w:rPr>
          <w:rFonts w:ascii="Arial" w:hAnsi="Arial" w:cs="Arial"/>
        </w:rPr>
        <w:t xml:space="preserve">situa </w:t>
      </w:r>
      <w:r w:rsidR="00F4426C">
        <w:rPr>
          <w:rFonts w:ascii="Arial" w:hAnsi="Arial" w:cs="Arial"/>
        </w:rPr>
        <w:t>l’any 201</w:t>
      </w:r>
      <w:r w:rsidR="00AF397A">
        <w:rPr>
          <w:rFonts w:ascii="Arial" w:hAnsi="Arial" w:cs="Arial"/>
        </w:rPr>
        <w:t>3</w:t>
      </w:r>
      <w:r w:rsidR="00825B76">
        <w:rPr>
          <w:rFonts w:ascii="Arial" w:hAnsi="Arial" w:cs="Arial"/>
        </w:rPr>
        <w:t xml:space="preserve"> </w:t>
      </w:r>
      <w:r w:rsidR="00AF397A">
        <w:rPr>
          <w:rFonts w:ascii="Arial" w:hAnsi="Arial" w:cs="Arial"/>
        </w:rPr>
        <w:t xml:space="preserve">entre els </w:t>
      </w:r>
      <w:r w:rsidR="00F4426C">
        <w:rPr>
          <w:rFonts w:ascii="Arial" w:hAnsi="Arial" w:cs="Arial"/>
        </w:rPr>
        <w:t>valor</w:t>
      </w:r>
      <w:r w:rsidR="00AF397A">
        <w:rPr>
          <w:rFonts w:ascii="Arial" w:hAnsi="Arial" w:cs="Arial"/>
        </w:rPr>
        <w:t>s</w:t>
      </w:r>
      <w:r w:rsidR="00F4426C">
        <w:rPr>
          <w:rFonts w:ascii="Arial" w:hAnsi="Arial" w:cs="Arial"/>
        </w:rPr>
        <w:t xml:space="preserve"> més elevat</w:t>
      </w:r>
      <w:r w:rsidR="00AF397A">
        <w:rPr>
          <w:rFonts w:ascii="Arial" w:hAnsi="Arial" w:cs="Arial"/>
        </w:rPr>
        <w:t>s</w:t>
      </w:r>
      <w:r w:rsidR="00F4426C">
        <w:rPr>
          <w:rFonts w:ascii="Arial" w:hAnsi="Arial" w:cs="Arial"/>
        </w:rPr>
        <w:t xml:space="preserve"> de desigualtat d’aquest índex </w:t>
      </w:r>
      <w:r w:rsidR="00AF397A">
        <w:rPr>
          <w:rFonts w:ascii="Arial" w:hAnsi="Arial" w:cs="Arial"/>
        </w:rPr>
        <w:t>d</w:t>
      </w:r>
      <w:r w:rsidR="00F4426C">
        <w:rPr>
          <w:rFonts w:ascii="Arial" w:hAnsi="Arial" w:cs="Arial"/>
        </w:rPr>
        <w:t>els països de la UE-2</w:t>
      </w:r>
      <w:r w:rsidR="00AF397A">
        <w:rPr>
          <w:rFonts w:ascii="Arial" w:hAnsi="Arial" w:cs="Arial"/>
        </w:rPr>
        <w:t xml:space="preserve">8 conjuntament amb Letònia, </w:t>
      </w:r>
      <w:r w:rsidR="00324343">
        <w:rPr>
          <w:rFonts w:ascii="Arial" w:hAnsi="Arial" w:cs="Arial"/>
        </w:rPr>
        <w:t>Bulgària Grècia i Romania. Mentre que Catalunya mostra un nivell de desigualtat superior a la mitjana de països de la UE-28.</w:t>
      </w:r>
    </w:p>
    <w:p w:rsidR="0074411D" w:rsidRDefault="00322ECA" w:rsidP="00220E83">
      <w:pPr>
        <w:jc w:val="both"/>
        <w:rPr>
          <w:rFonts w:ascii="Arial" w:hAnsi="Arial" w:cs="Arial"/>
        </w:rPr>
      </w:pPr>
      <w:r>
        <w:rPr>
          <w:rFonts w:ascii="Arial" w:hAnsi="Arial" w:cs="Arial"/>
        </w:rPr>
        <w:t>Cal a més tenir en compte</w:t>
      </w:r>
      <w:r w:rsidR="00684F98">
        <w:rPr>
          <w:rFonts w:ascii="Arial" w:hAnsi="Arial" w:cs="Arial"/>
        </w:rPr>
        <w:t>,</w:t>
      </w:r>
      <w:r>
        <w:rPr>
          <w:rFonts w:ascii="Arial" w:hAnsi="Arial" w:cs="Arial"/>
        </w:rPr>
        <w:t xml:space="preserve"> que aquest indicador es calcula sobre els ingressos de les famílies un cop duta a terme la funció re</w:t>
      </w:r>
      <w:r w:rsidR="00EE1D8A">
        <w:rPr>
          <w:rFonts w:ascii="Arial" w:hAnsi="Arial" w:cs="Arial"/>
        </w:rPr>
        <w:t>distribuïdora</w:t>
      </w:r>
      <w:r>
        <w:rPr>
          <w:rFonts w:ascii="Arial" w:hAnsi="Arial" w:cs="Arial"/>
        </w:rPr>
        <w:t xml:space="preserve"> del sector públic, ja sigui a través dels impostos o a través de les transfer</w:t>
      </w:r>
      <w:r w:rsidR="009B76A9">
        <w:rPr>
          <w:rFonts w:ascii="Arial" w:hAnsi="Arial" w:cs="Arial"/>
        </w:rPr>
        <w:t>è</w:t>
      </w:r>
      <w:r>
        <w:rPr>
          <w:rFonts w:ascii="Arial" w:hAnsi="Arial" w:cs="Arial"/>
        </w:rPr>
        <w:t>ncies de caràcter social.</w:t>
      </w:r>
    </w:p>
    <w:p w:rsidR="00BF39D9" w:rsidRDefault="00BF39D9">
      <w:pPr>
        <w:spacing w:after="0" w:line="240" w:lineRule="auto"/>
        <w:rPr>
          <w:rFonts w:ascii="Arial" w:hAnsi="Arial" w:cs="Arial"/>
        </w:rPr>
      </w:pPr>
    </w:p>
    <w:p w:rsidR="00593AD1" w:rsidRDefault="00593AD1">
      <w:pPr>
        <w:spacing w:after="0" w:line="240" w:lineRule="auto"/>
        <w:rPr>
          <w:rFonts w:ascii="Arial" w:hAnsi="Arial" w:cs="Arial"/>
        </w:rPr>
      </w:pPr>
      <w:r>
        <w:rPr>
          <w:rFonts w:ascii="Arial" w:hAnsi="Arial" w:cs="Arial"/>
        </w:rPr>
        <w:br w:type="page"/>
      </w:r>
    </w:p>
    <w:p w:rsidR="00BF39D9" w:rsidRDefault="00BF39D9" w:rsidP="00220E83">
      <w:pPr>
        <w:jc w:val="both"/>
        <w:rPr>
          <w:rFonts w:ascii="Arial" w:hAnsi="Arial" w:cs="Arial"/>
        </w:rPr>
      </w:pPr>
    </w:p>
    <w:p w:rsidR="00EC19B7" w:rsidRPr="00007822" w:rsidRDefault="00EC19B7" w:rsidP="00EC19B7">
      <w:pPr>
        <w:spacing w:after="0"/>
        <w:rPr>
          <w:rFonts w:ascii="Arial" w:hAnsi="Arial" w:cs="Arial"/>
          <w:b/>
          <w:sz w:val="20"/>
          <w:szCs w:val="20"/>
        </w:rPr>
      </w:pPr>
      <w:r w:rsidRPr="00F53289">
        <w:rPr>
          <w:rFonts w:ascii="Arial" w:hAnsi="Arial" w:cs="Arial"/>
          <w:b/>
          <w:sz w:val="20"/>
          <w:szCs w:val="20"/>
        </w:rPr>
        <w:t>Evolució de la</w:t>
      </w:r>
      <w:r>
        <w:rPr>
          <w:rFonts w:ascii="Arial" w:hAnsi="Arial" w:cs="Arial"/>
          <w:b/>
          <w:sz w:val="20"/>
          <w:szCs w:val="20"/>
        </w:rPr>
        <w:t xml:space="preserve"> distribució de la </w:t>
      </w:r>
      <w:r w:rsidRPr="00F53289">
        <w:rPr>
          <w:rFonts w:ascii="Arial" w:hAnsi="Arial" w:cs="Arial"/>
          <w:b/>
          <w:sz w:val="20"/>
          <w:szCs w:val="20"/>
        </w:rPr>
        <w:t>renda</w:t>
      </w:r>
      <w:r>
        <w:rPr>
          <w:rFonts w:ascii="Arial" w:hAnsi="Arial" w:cs="Arial"/>
          <w:b/>
          <w:sz w:val="20"/>
          <w:szCs w:val="20"/>
        </w:rPr>
        <w:t>,</w:t>
      </w:r>
      <w:r w:rsidRPr="00F53289">
        <w:rPr>
          <w:rFonts w:ascii="Arial" w:hAnsi="Arial" w:cs="Arial"/>
          <w:b/>
          <w:sz w:val="20"/>
          <w:szCs w:val="20"/>
        </w:rPr>
        <w:t xml:space="preserve"> S80/S20. 200</w:t>
      </w:r>
      <w:r>
        <w:rPr>
          <w:rFonts w:ascii="Arial" w:hAnsi="Arial" w:cs="Arial"/>
          <w:b/>
          <w:sz w:val="20"/>
          <w:szCs w:val="20"/>
        </w:rPr>
        <w:t>8</w:t>
      </w:r>
      <w:r w:rsidRPr="00F53289">
        <w:rPr>
          <w:rFonts w:ascii="Arial" w:hAnsi="Arial" w:cs="Arial"/>
          <w:b/>
          <w:sz w:val="20"/>
          <w:szCs w:val="20"/>
        </w:rPr>
        <w:t>-201</w:t>
      </w:r>
      <w:r>
        <w:rPr>
          <w:rFonts w:ascii="Arial" w:hAnsi="Arial" w:cs="Arial"/>
          <w:b/>
          <w:sz w:val="20"/>
          <w:szCs w:val="20"/>
        </w:rPr>
        <w:t>3</w:t>
      </w:r>
    </w:p>
    <w:p w:rsidR="00EC19B7" w:rsidRDefault="008E1C35" w:rsidP="00EC19B7">
      <w:pPr>
        <w:spacing w:after="0"/>
        <w:jc w:val="both"/>
        <w:rPr>
          <w:rFonts w:ascii="Arial" w:hAnsi="Arial" w:cs="Arial"/>
          <w:sz w:val="16"/>
          <w:szCs w:val="16"/>
        </w:rPr>
      </w:pPr>
      <w:r w:rsidRPr="008E1C35">
        <w:rPr>
          <w:noProof/>
          <w:szCs w:val="16"/>
          <w:lang w:eastAsia="ca-ES"/>
        </w:rPr>
        <w:drawing>
          <wp:inline distT="0" distB="0" distL="0" distR="0">
            <wp:extent cx="5400040" cy="2885083"/>
            <wp:effectExtent l="19050" t="0" r="0" b="0"/>
            <wp:docPr id="29"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EC19B7" w:rsidRDefault="00EC19B7" w:rsidP="00EC19B7">
      <w:pPr>
        <w:spacing w:after="0"/>
        <w:jc w:val="both"/>
        <w:rPr>
          <w:rFonts w:ascii="Arial" w:hAnsi="Arial" w:cs="Arial"/>
          <w:sz w:val="16"/>
          <w:szCs w:val="16"/>
        </w:rPr>
      </w:pPr>
      <w:r>
        <w:rPr>
          <w:rFonts w:ascii="Arial" w:hAnsi="Arial" w:cs="Arial"/>
          <w:sz w:val="16"/>
          <w:szCs w:val="16"/>
        </w:rPr>
        <w:t>Nota:el darrer valor de la UE-28 és de l’any 2012.</w:t>
      </w:r>
    </w:p>
    <w:p w:rsidR="00EC19B7" w:rsidRDefault="00EC19B7" w:rsidP="0039529B">
      <w:pPr>
        <w:jc w:val="both"/>
        <w:rPr>
          <w:rFonts w:ascii="Arial" w:hAnsi="Arial" w:cs="Arial"/>
          <w:sz w:val="16"/>
          <w:szCs w:val="16"/>
        </w:rPr>
      </w:pPr>
      <w:r w:rsidRPr="00A83FB2">
        <w:rPr>
          <w:rFonts w:ascii="Arial" w:hAnsi="Arial" w:cs="Arial"/>
          <w:sz w:val="16"/>
          <w:szCs w:val="16"/>
        </w:rPr>
        <w:t>Font: Eurostat i Idescat</w:t>
      </w:r>
      <w:r>
        <w:rPr>
          <w:rFonts w:ascii="Arial" w:hAnsi="Arial" w:cs="Arial"/>
          <w:sz w:val="16"/>
          <w:szCs w:val="16"/>
        </w:rPr>
        <w:t xml:space="preserve"> a partir de l’ECV base 2013.</w:t>
      </w:r>
    </w:p>
    <w:p w:rsidR="00592786" w:rsidRDefault="00592786">
      <w:pPr>
        <w:spacing w:after="0" w:line="240" w:lineRule="auto"/>
        <w:rPr>
          <w:rFonts w:ascii="Arial" w:hAnsi="Arial" w:cs="Arial"/>
        </w:rPr>
      </w:pPr>
    </w:p>
    <w:p w:rsidR="00AD7993" w:rsidRPr="00AA2BE1" w:rsidRDefault="00AD7993" w:rsidP="0039529B">
      <w:pPr>
        <w:jc w:val="both"/>
        <w:rPr>
          <w:rFonts w:ascii="Arial" w:hAnsi="Arial" w:cs="Arial"/>
        </w:rPr>
      </w:pPr>
    </w:p>
    <w:p w:rsidR="00EC19B7" w:rsidRPr="00007822" w:rsidRDefault="00EC19B7" w:rsidP="00EC19B7">
      <w:pPr>
        <w:spacing w:after="0"/>
        <w:rPr>
          <w:rFonts w:ascii="Arial" w:hAnsi="Arial" w:cs="Arial"/>
          <w:b/>
          <w:sz w:val="20"/>
          <w:szCs w:val="20"/>
        </w:rPr>
      </w:pPr>
      <w:r w:rsidRPr="00F53289">
        <w:rPr>
          <w:rFonts w:ascii="Arial" w:hAnsi="Arial" w:cs="Arial"/>
          <w:b/>
          <w:sz w:val="20"/>
          <w:szCs w:val="20"/>
        </w:rPr>
        <w:t>Evolució de la</w:t>
      </w:r>
      <w:r>
        <w:rPr>
          <w:rFonts w:ascii="Arial" w:hAnsi="Arial" w:cs="Arial"/>
          <w:b/>
          <w:sz w:val="20"/>
          <w:szCs w:val="20"/>
        </w:rPr>
        <w:t xml:space="preserve"> distribució de la </w:t>
      </w:r>
      <w:r w:rsidRPr="00F53289">
        <w:rPr>
          <w:rFonts w:ascii="Arial" w:hAnsi="Arial" w:cs="Arial"/>
          <w:b/>
          <w:sz w:val="20"/>
          <w:szCs w:val="20"/>
        </w:rPr>
        <w:t>renda</w:t>
      </w:r>
      <w:r>
        <w:rPr>
          <w:rFonts w:ascii="Arial" w:hAnsi="Arial" w:cs="Arial"/>
          <w:b/>
          <w:sz w:val="20"/>
          <w:szCs w:val="20"/>
        </w:rPr>
        <w:t>,</w:t>
      </w:r>
      <w:r w:rsidRPr="00F53289">
        <w:rPr>
          <w:rFonts w:ascii="Arial" w:hAnsi="Arial" w:cs="Arial"/>
          <w:b/>
          <w:sz w:val="20"/>
          <w:szCs w:val="20"/>
        </w:rPr>
        <w:t xml:space="preserve"> S80/S20. 200</w:t>
      </w:r>
      <w:r>
        <w:rPr>
          <w:rFonts w:ascii="Arial" w:hAnsi="Arial" w:cs="Arial"/>
          <w:b/>
          <w:sz w:val="20"/>
          <w:szCs w:val="20"/>
        </w:rPr>
        <w:t>4</w:t>
      </w:r>
      <w:r w:rsidRPr="00F53289">
        <w:rPr>
          <w:rFonts w:ascii="Arial" w:hAnsi="Arial" w:cs="Arial"/>
          <w:b/>
          <w:sz w:val="20"/>
          <w:szCs w:val="20"/>
        </w:rPr>
        <w:t>-201</w:t>
      </w:r>
      <w:r>
        <w:rPr>
          <w:rFonts w:ascii="Arial" w:hAnsi="Arial" w:cs="Arial"/>
          <w:b/>
          <w:sz w:val="20"/>
          <w:szCs w:val="20"/>
        </w:rPr>
        <w:t>3</w:t>
      </w:r>
    </w:p>
    <w:p w:rsidR="00EC19B7" w:rsidRPr="00EC19B7" w:rsidRDefault="00EC19B7" w:rsidP="00EC19B7">
      <w:pPr>
        <w:spacing w:after="0"/>
        <w:jc w:val="both"/>
        <w:rPr>
          <w:rFonts w:ascii="Arial" w:hAnsi="Arial" w:cs="Arial"/>
          <w:sz w:val="16"/>
          <w:szCs w:val="16"/>
        </w:rPr>
      </w:pPr>
      <w:r w:rsidRPr="00EC19B7">
        <w:rPr>
          <w:noProof/>
          <w:lang w:eastAsia="ca-ES"/>
        </w:rPr>
        <w:drawing>
          <wp:inline distT="0" distB="0" distL="0" distR="0">
            <wp:extent cx="5400040" cy="2883228"/>
            <wp:effectExtent l="19050" t="0" r="0" b="0"/>
            <wp:docPr id="45"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srcRect/>
                    <a:stretch>
                      <a:fillRect/>
                    </a:stretch>
                  </pic:blipFill>
                  <pic:spPr bwMode="auto">
                    <a:xfrm>
                      <a:off x="0" y="0"/>
                      <a:ext cx="5400040" cy="2883228"/>
                    </a:xfrm>
                    <a:prstGeom prst="rect">
                      <a:avLst/>
                    </a:prstGeom>
                    <a:noFill/>
                    <a:ln w="9525">
                      <a:noFill/>
                      <a:miter lim="800000"/>
                      <a:headEnd/>
                      <a:tailEnd/>
                    </a:ln>
                  </pic:spPr>
                </pic:pic>
              </a:graphicData>
            </a:graphic>
          </wp:inline>
        </w:drawing>
      </w:r>
    </w:p>
    <w:p w:rsidR="00EC19B7" w:rsidRDefault="00EC19B7" w:rsidP="00A25B14">
      <w:pPr>
        <w:jc w:val="both"/>
        <w:rPr>
          <w:rFonts w:ascii="Arial" w:hAnsi="Arial" w:cs="Arial"/>
          <w:sz w:val="16"/>
          <w:szCs w:val="16"/>
        </w:rPr>
      </w:pPr>
      <w:r w:rsidRPr="00A83FB2">
        <w:rPr>
          <w:rFonts w:ascii="Arial" w:hAnsi="Arial" w:cs="Arial"/>
          <w:sz w:val="16"/>
          <w:szCs w:val="16"/>
        </w:rPr>
        <w:t>Font: Eurostat i Idescat</w:t>
      </w:r>
      <w:r>
        <w:rPr>
          <w:rFonts w:ascii="Arial" w:hAnsi="Arial" w:cs="Arial"/>
          <w:sz w:val="16"/>
          <w:szCs w:val="16"/>
        </w:rPr>
        <w:t xml:space="preserve"> a partir de l’ECV base 2013. Le dades 2004-2007 per Espanya i Catalunya són a partir de l’ECV base 2004.</w:t>
      </w:r>
    </w:p>
    <w:p w:rsidR="00BF39D9" w:rsidRDefault="00BF39D9">
      <w:pPr>
        <w:spacing w:after="0" w:line="240" w:lineRule="auto"/>
        <w:rPr>
          <w:rFonts w:ascii="Arial" w:hAnsi="Arial" w:cs="Arial"/>
          <w:sz w:val="16"/>
          <w:szCs w:val="16"/>
        </w:rPr>
      </w:pPr>
    </w:p>
    <w:p w:rsidR="00593AD1" w:rsidRDefault="00593AD1">
      <w:pPr>
        <w:spacing w:after="0" w:line="240" w:lineRule="auto"/>
        <w:rPr>
          <w:rFonts w:ascii="Arial" w:hAnsi="Arial" w:cs="Arial"/>
          <w:sz w:val="16"/>
          <w:szCs w:val="16"/>
        </w:rPr>
      </w:pPr>
      <w:r>
        <w:rPr>
          <w:rFonts w:ascii="Arial" w:hAnsi="Arial" w:cs="Arial"/>
          <w:sz w:val="16"/>
          <w:szCs w:val="16"/>
        </w:rPr>
        <w:br w:type="page"/>
      </w:r>
    </w:p>
    <w:p w:rsidR="00592786" w:rsidRDefault="00592786">
      <w:pPr>
        <w:spacing w:after="0" w:line="240" w:lineRule="auto"/>
        <w:rPr>
          <w:rFonts w:ascii="Arial" w:hAnsi="Arial" w:cs="Arial"/>
          <w:sz w:val="16"/>
          <w:szCs w:val="16"/>
        </w:rPr>
      </w:pPr>
    </w:p>
    <w:p w:rsidR="00D748C9" w:rsidRPr="00E848CD" w:rsidRDefault="007C184F" w:rsidP="00FE52EE">
      <w:pPr>
        <w:jc w:val="both"/>
        <w:rPr>
          <w:rFonts w:ascii="Arial" w:hAnsi="Arial" w:cs="Arial"/>
          <w:b/>
          <w:i/>
        </w:rPr>
      </w:pPr>
      <w:r w:rsidRPr="00E848CD">
        <w:rPr>
          <w:rFonts w:ascii="Arial" w:hAnsi="Arial" w:cs="Arial"/>
          <w:b/>
          <w:i/>
        </w:rPr>
        <w:t>La Taxa de risc de pobres</w:t>
      </w:r>
      <w:r w:rsidR="00D96FEA">
        <w:rPr>
          <w:rFonts w:ascii="Arial" w:hAnsi="Arial" w:cs="Arial"/>
          <w:b/>
          <w:i/>
        </w:rPr>
        <w:t>a</w:t>
      </w:r>
      <w:r w:rsidR="00A31485">
        <w:rPr>
          <w:rFonts w:ascii="Arial" w:hAnsi="Arial" w:cs="Arial"/>
          <w:b/>
          <w:i/>
        </w:rPr>
        <w:t xml:space="preserve"> </w:t>
      </w:r>
      <w:r w:rsidRPr="00E848CD">
        <w:rPr>
          <w:rFonts w:ascii="Arial" w:hAnsi="Arial" w:cs="Arial"/>
          <w:b/>
          <w:i/>
        </w:rPr>
        <w:t>o exclusió social</w:t>
      </w:r>
    </w:p>
    <w:p w:rsidR="002A493A" w:rsidRDefault="00D748C9" w:rsidP="00FE52EE">
      <w:pPr>
        <w:jc w:val="both"/>
        <w:rPr>
          <w:rFonts w:ascii="Arial" w:hAnsi="Arial" w:cs="Arial"/>
        </w:rPr>
      </w:pPr>
      <w:r>
        <w:rPr>
          <w:rFonts w:ascii="Arial" w:hAnsi="Arial" w:cs="Arial"/>
        </w:rPr>
        <w:t>La taxa de risc de pobres</w:t>
      </w:r>
      <w:r w:rsidR="00694554">
        <w:rPr>
          <w:rFonts w:ascii="Arial" w:hAnsi="Arial" w:cs="Arial"/>
        </w:rPr>
        <w:t>a</w:t>
      </w:r>
      <w:r w:rsidR="00B570DD">
        <w:rPr>
          <w:rFonts w:ascii="Arial" w:hAnsi="Arial" w:cs="Arial"/>
        </w:rPr>
        <w:t xml:space="preserve"> </w:t>
      </w:r>
      <w:r>
        <w:rPr>
          <w:rFonts w:ascii="Arial" w:hAnsi="Arial" w:cs="Arial"/>
        </w:rPr>
        <w:t>o exclusió social</w:t>
      </w:r>
      <w:r w:rsidR="002A493A">
        <w:rPr>
          <w:rFonts w:ascii="Arial" w:hAnsi="Arial" w:cs="Arial"/>
        </w:rPr>
        <w:t xml:space="preserve"> (indicador AROPE) és un indicador que combina una mesura de pobresa relativa (la taxa de risc de pobresa) amb dues mesures de pobresa absoluta (la taxa de privació material i la taxa d</w:t>
      </w:r>
      <w:r w:rsidR="00014528">
        <w:rPr>
          <w:rFonts w:ascii="Arial" w:hAnsi="Arial" w:cs="Arial"/>
        </w:rPr>
        <w:t xml:space="preserve">e baixa </w:t>
      </w:r>
      <w:r w:rsidR="002A493A">
        <w:rPr>
          <w:rFonts w:ascii="Arial" w:hAnsi="Arial" w:cs="Arial"/>
        </w:rPr>
        <w:t>intensitat de treball en la llar</w:t>
      </w:r>
      <w:r w:rsidR="00CE69C6">
        <w:rPr>
          <w:rFonts w:ascii="Arial" w:hAnsi="Arial" w:cs="Arial"/>
        </w:rPr>
        <w:t>)</w:t>
      </w:r>
      <w:r w:rsidR="002A493A">
        <w:rPr>
          <w:rFonts w:ascii="Arial" w:hAnsi="Arial" w:cs="Arial"/>
        </w:rPr>
        <w:t>, indicant en conjunt quin és el percentatge de població d’un territori que es troba en alguna de les tres situacions de pobresa o en una combinació d’elles, i que per tant</w:t>
      </w:r>
      <w:r w:rsidR="00684F98">
        <w:rPr>
          <w:rFonts w:ascii="Arial" w:hAnsi="Arial" w:cs="Arial"/>
        </w:rPr>
        <w:t>,</w:t>
      </w:r>
      <w:r w:rsidR="002A493A">
        <w:rPr>
          <w:rFonts w:ascii="Arial" w:hAnsi="Arial" w:cs="Arial"/>
        </w:rPr>
        <w:t xml:space="preserve"> o bé la seva renda està</w:t>
      </w:r>
      <w:r w:rsidR="00763A1B">
        <w:rPr>
          <w:rFonts w:ascii="Arial" w:hAnsi="Arial" w:cs="Arial"/>
        </w:rPr>
        <w:t xml:space="preserve"> per sota del 60% de la renda </w:t>
      </w:r>
      <w:r w:rsidR="00AF0E1D">
        <w:rPr>
          <w:rFonts w:ascii="Arial" w:hAnsi="Arial" w:cs="Arial"/>
        </w:rPr>
        <w:t xml:space="preserve">disponible equivalent </w:t>
      </w:r>
      <w:r w:rsidR="00763A1B">
        <w:rPr>
          <w:rFonts w:ascii="Arial" w:hAnsi="Arial" w:cs="Arial"/>
        </w:rPr>
        <w:t>mediana</w:t>
      </w:r>
      <w:r w:rsidR="002A493A">
        <w:rPr>
          <w:rFonts w:ascii="Arial" w:hAnsi="Arial" w:cs="Arial"/>
        </w:rPr>
        <w:t xml:space="preserve"> de la societat de referència, o bé viu en una llar on no es poden permetre la compra d’uns serveis mínims de benes</w:t>
      </w:r>
      <w:r w:rsidR="006A715E">
        <w:rPr>
          <w:rFonts w:ascii="Arial" w:hAnsi="Arial" w:cs="Arial"/>
        </w:rPr>
        <w:t>tar, o bé viu en una llar en què</w:t>
      </w:r>
      <w:r w:rsidR="002A493A">
        <w:rPr>
          <w:rFonts w:ascii="Arial" w:hAnsi="Arial" w:cs="Arial"/>
        </w:rPr>
        <w:t xml:space="preserve"> les persones en edat activa </w:t>
      </w:r>
      <w:r w:rsidR="00CE69C6">
        <w:rPr>
          <w:rFonts w:ascii="Arial" w:hAnsi="Arial" w:cs="Arial"/>
        </w:rPr>
        <w:t>han t</w:t>
      </w:r>
      <w:r w:rsidR="002A493A">
        <w:rPr>
          <w:rFonts w:ascii="Arial" w:hAnsi="Arial" w:cs="Arial"/>
        </w:rPr>
        <w:t>reball</w:t>
      </w:r>
      <w:r w:rsidR="00CE69C6">
        <w:rPr>
          <w:rFonts w:ascii="Arial" w:hAnsi="Arial" w:cs="Arial"/>
        </w:rPr>
        <w:t>at</w:t>
      </w:r>
      <w:r w:rsidR="002A493A">
        <w:rPr>
          <w:rFonts w:ascii="Arial" w:hAnsi="Arial" w:cs="Arial"/>
        </w:rPr>
        <w:t xml:space="preserve"> menys del 20% del seu pot</w:t>
      </w:r>
      <w:r w:rsidR="00130C17">
        <w:rPr>
          <w:rFonts w:ascii="Arial" w:hAnsi="Arial" w:cs="Arial"/>
        </w:rPr>
        <w:t>encial al llarg del darrer any.</w:t>
      </w:r>
    </w:p>
    <w:p w:rsidR="00130C17" w:rsidRDefault="00130C17" w:rsidP="00FE52EE">
      <w:pPr>
        <w:jc w:val="both"/>
        <w:rPr>
          <w:rFonts w:ascii="Arial" w:hAnsi="Arial" w:cs="Arial"/>
        </w:rPr>
      </w:pPr>
      <w:r>
        <w:rPr>
          <w:rFonts w:ascii="Arial" w:hAnsi="Arial" w:cs="Arial"/>
        </w:rPr>
        <w:t>El valor d’aquest índex en els països de la UE-2</w:t>
      </w:r>
      <w:r w:rsidR="008D26EF">
        <w:rPr>
          <w:rFonts w:ascii="Arial" w:hAnsi="Arial" w:cs="Arial"/>
        </w:rPr>
        <w:t>8</w:t>
      </w:r>
      <w:r>
        <w:rPr>
          <w:rFonts w:ascii="Arial" w:hAnsi="Arial" w:cs="Arial"/>
        </w:rPr>
        <w:t xml:space="preserve"> i entre els anys 2004-201</w:t>
      </w:r>
      <w:r w:rsidR="005D2F35">
        <w:rPr>
          <w:rFonts w:ascii="Arial" w:hAnsi="Arial" w:cs="Arial"/>
        </w:rPr>
        <w:t>3</w:t>
      </w:r>
      <w:r w:rsidR="00825B76">
        <w:rPr>
          <w:rFonts w:ascii="Arial" w:hAnsi="Arial" w:cs="Arial"/>
        </w:rPr>
        <w:t xml:space="preserve"> </w:t>
      </w:r>
      <w:r w:rsidR="005D2F35">
        <w:rPr>
          <w:rFonts w:ascii="Arial" w:hAnsi="Arial" w:cs="Arial"/>
        </w:rPr>
        <w:t>s’</w:t>
      </w:r>
      <w:r>
        <w:rPr>
          <w:rFonts w:ascii="Arial" w:hAnsi="Arial" w:cs="Arial"/>
        </w:rPr>
        <w:t xml:space="preserve">ha </w:t>
      </w:r>
      <w:r w:rsidR="005D2F35">
        <w:rPr>
          <w:rFonts w:ascii="Arial" w:hAnsi="Arial" w:cs="Arial"/>
        </w:rPr>
        <w:t>situat</w:t>
      </w:r>
      <w:r>
        <w:rPr>
          <w:rFonts w:ascii="Arial" w:hAnsi="Arial" w:cs="Arial"/>
        </w:rPr>
        <w:t xml:space="preserve"> entre el valor mínim de Suècia l’any 2007, del 13,9%, i el valor màxim de Bulgària l’any 2006, del 61,3%.</w:t>
      </w:r>
    </w:p>
    <w:p w:rsidR="002A493A" w:rsidRDefault="005D2F35" w:rsidP="00FE52EE">
      <w:pPr>
        <w:jc w:val="both"/>
        <w:rPr>
          <w:rFonts w:ascii="Arial" w:hAnsi="Arial" w:cs="Arial"/>
        </w:rPr>
      </w:pPr>
      <w:r>
        <w:rPr>
          <w:rFonts w:ascii="Arial" w:hAnsi="Arial" w:cs="Arial"/>
        </w:rPr>
        <w:t>En termes mitjans</w:t>
      </w:r>
      <w:r w:rsidR="00684F98">
        <w:rPr>
          <w:rFonts w:ascii="Arial" w:hAnsi="Arial" w:cs="Arial"/>
        </w:rPr>
        <w:t>,</w:t>
      </w:r>
      <w:r>
        <w:rPr>
          <w:rFonts w:ascii="Arial" w:hAnsi="Arial" w:cs="Arial"/>
        </w:rPr>
        <w:t xml:space="preserve"> la taxa de risc de pobresa o exclusió social </w:t>
      </w:r>
      <w:r w:rsidR="00845060">
        <w:rPr>
          <w:rFonts w:ascii="Arial" w:hAnsi="Arial" w:cs="Arial"/>
        </w:rPr>
        <w:t xml:space="preserve">en el conjunt de països de la UE-28 </w:t>
      </w:r>
      <w:r>
        <w:rPr>
          <w:rFonts w:ascii="Arial" w:hAnsi="Arial" w:cs="Arial"/>
        </w:rPr>
        <w:t>es redueix lleugerament en el període de crisi, passant de valors mitjans del 25,2% entre els anys 2005-2007, a un valor mitjà del 24,1% en els anys 2008-2013.</w:t>
      </w:r>
    </w:p>
    <w:p w:rsidR="00E848CD" w:rsidRPr="00892CE5" w:rsidRDefault="00D748C9" w:rsidP="00FE52EE">
      <w:pPr>
        <w:jc w:val="both"/>
        <w:rPr>
          <w:rFonts w:ascii="Arial" w:hAnsi="Arial" w:cs="Arial"/>
          <w:color w:val="000000"/>
        </w:rPr>
      </w:pPr>
      <w:r w:rsidRPr="00892CE5">
        <w:rPr>
          <w:rFonts w:ascii="Arial" w:hAnsi="Arial" w:cs="Arial"/>
          <w:color w:val="000000"/>
        </w:rPr>
        <w:t xml:space="preserve">Catalunya </w:t>
      </w:r>
      <w:r w:rsidR="00382A77" w:rsidRPr="00892CE5">
        <w:rPr>
          <w:rFonts w:ascii="Arial" w:hAnsi="Arial" w:cs="Arial"/>
          <w:color w:val="000000"/>
        </w:rPr>
        <w:t>i</w:t>
      </w:r>
      <w:r w:rsidRPr="00892CE5">
        <w:rPr>
          <w:rFonts w:ascii="Arial" w:hAnsi="Arial" w:cs="Arial"/>
          <w:color w:val="000000"/>
        </w:rPr>
        <w:t xml:space="preserve"> Espanya</w:t>
      </w:r>
      <w:r w:rsidR="0073279C" w:rsidRPr="00892CE5">
        <w:rPr>
          <w:rFonts w:ascii="Arial" w:hAnsi="Arial" w:cs="Arial"/>
          <w:color w:val="000000"/>
        </w:rPr>
        <w:t xml:space="preserve"> mostren</w:t>
      </w:r>
      <w:r w:rsidRPr="00892CE5">
        <w:rPr>
          <w:rFonts w:ascii="Arial" w:hAnsi="Arial" w:cs="Arial"/>
          <w:color w:val="000000"/>
        </w:rPr>
        <w:t xml:space="preserve"> des de </w:t>
      </w:r>
      <w:r w:rsidR="00382A77" w:rsidRPr="00892CE5">
        <w:rPr>
          <w:rFonts w:ascii="Arial" w:hAnsi="Arial" w:cs="Arial"/>
          <w:color w:val="000000"/>
        </w:rPr>
        <w:t xml:space="preserve">l’inici </w:t>
      </w:r>
      <w:r w:rsidRPr="00892CE5">
        <w:rPr>
          <w:rFonts w:ascii="Arial" w:hAnsi="Arial" w:cs="Arial"/>
          <w:color w:val="000000"/>
        </w:rPr>
        <w:t>de l</w:t>
      </w:r>
      <w:r w:rsidR="00CE69C6" w:rsidRPr="00892CE5">
        <w:rPr>
          <w:rFonts w:ascii="Arial" w:hAnsi="Arial" w:cs="Arial"/>
          <w:color w:val="000000"/>
        </w:rPr>
        <w:t xml:space="preserve">’actual </w:t>
      </w:r>
      <w:r w:rsidRPr="00892CE5">
        <w:rPr>
          <w:rFonts w:ascii="Arial" w:hAnsi="Arial" w:cs="Arial"/>
          <w:color w:val="000000"/>
        </w:rPr>
        <w:t>crisi econòmica</w:t>
      </w:r>
      <w:r w:rsidR="00825B76">
        <w:rPr>
          <w:rFonts w:ascii="Arial" w:hAnsi="Arial" w:cs="Arial"/>
          <w:color w:val="000000"/>
        </w:rPr>
        <w:t xml:space="preserve"> </w:t>
      </w:r>
      <w:r w:rsidR="0073279C" w:rsidRPr="00892CE5">
        <w:rPr>
          <w:rFonts w:ascii="Arial" w:hAnsi="Arial" w:cs="Arial"/>
          <w:color w:val="000000"/>
        </w:rPr>
        <w:t>un dels creixements més intensos entre els països de la UE-2</w:t>
      </w:r>
      <w:r w:rsidR="005D2F35">
        <w:rPr>
          <w:rFonts w:ascii="Arial" w:hAnsi="Arial" w:cs="Arial"/>
          <w:color w:val="000000"/>
        </w:rPr>
        <w:t>8</w:t>
      </w:r>
      <w:r w:rsidR="0073279C" w:rsidRPr="00892CE5">
        <w:rPr>
          <w:rFonts w:ascii="Arial" w:hAnsi="Arial" w:cs="Arial"/>
          <w:color w:val="000000"/>
        </w:rPr>
        <w:t xml:space="preserve"> de </w:t>
      </w:r>
      <w:r w:rsidR="005378A7" w:rsidRPr="00892CE5">
        <w:rPr>
          <w:rFonts w:ascii="Arial" w:hAnsi="Arial" w:cs="Arial"/>
          <w:color w:val="000000"/>
        </w:rPr>
        <w:t>la</w:t>
      </w:r>
      <w:r w:rsidR="00CE69C6" w:rsidRPr="00892CE5">
        <w:rPr>
          <w:rFonts w:ascii="Arial" w:hAnsi="Arial" w:cs="Arial"/>
          <w:color w:val="000000"/>
        </w:rPr>
        <w:t xml:space="preserve"> taxa de risc</w:t>
      </w:r>
      <w:r w:rsidR="0073279C" w:rsidRPr="00892CE5">
        <w:rPr>
          <w:rFonts w:ascii="Arial" w:hAnsi="Arial" w:cs="Arial"/>
          <w:color w:val="000000"/>
        </w:rPr>
        <w:t xml:space="preserve"> de pobresa i/o exclusió social</w:t>
      </w:r>
      <w:r w:rsidRPr="00892CE5">
        <w:rPr>
          <w:rFonts w:ascii="Arial" w:hAnsi="Arial" w:cs="Arial"/>
          <w:color w:val="000000"/>
        </w:rPr>
        <w:t xml:space="preserve">. </w:t>
      </w:r>
      <w:r w:rsidR="002E4565">
        <w:rPr>
          <w:rFonts w:ascii="Arial" w:hAnsi="Arial" w:cs="Arial"/>
          <w:color w:val="000000"/>
        </w:rPr>
        <w:t>Així, partint</w:t>
      </w:r>
      <w:r w:rsidR="00CB74BB">
        <w:rPr>
          <w:rFonts w:ascii="Arial" w:hAnsi="Arial" w:cs="Arial"/>
          <w:color w:val="000000"/>
        </w:rPr>
        <w:t xml:space="preserve"> en els dos casos</w:t>
      </w:r>
      <w:r w:rsidR="002E4565">
        <w:rPr>
          <w:rFonts w:ascii="Arial" w:hAnsi="Arial" w:cs="Arial"/>
          <w:color w:val="000000"/>
        </w:rPr>
        <w:t xml:space="preserve"> de nivells inferiors a la mitjana de pa</w:t>
      </w:r>
      <w:r w:rsidR="00CB74BB">
        <w:rPr>
          <w:rFonts w:ascii="Arial" w:hAnsi="Arial" w:cs="Arial"/>
          <w:color w:val="000000"/>
        </w:rPr>
        <w:t>ï</w:t>
      </w:r>
      <w:r w:rsidR="002E4565">
        <w:rPr>
          <w:rFonts w:ascii="Arial" w:hAnsi="Arial" w:cs="Arial"/>
          <w:color w:val="000000"/>
        </w:rPr>
        <w:t xml:space="preserve">sos de la UE-28 en els anys previs a </w:t>
      </w:r>
      <w:r w:rsidR="00CB74BB">
        <w:rPr>
          <w:rFonts w:ascii="Arial" w:hAnsi="Arial" w:cs="Arial"/>
          <w:color w:val="000000"/>
        </w:rPr>
        <w:t xml:space="preserve">la </w:t>
      </w:r>
      <w:r w:rsidR="002E4565">
        <w:rPr>
          <w:rFonts w:ascii="Arial" w:hAnsi="Arial" w:cs="Arial"/>
          <w:color w:val="000000"/>
        </w:rPr>
        <w:t>crisi</w:t>
      </w:r>
      <w:r w:rsidR="00CB74BB">
        <w:rPr>
          <w:rFonts w:ascii="Arial" w:hAnsi="Arial" w:cs="Arial"/>
          <w:color w:val="000000"/>
        </w:rPr>
        <w:t>,</w:t>
      </w:r>
      <w:r w:rsidR="00825B76">
        <w:rPr>
          <w:rFonts w:ascii="Arial" w:hAnsi="Arial" w:cs="Arial"/>
          <w:color w:val="000000"/>
        </w:rPr>
        <w:t xml:space="preserve"> </w:t>
      </w:r>
      <w:r w:rsidR="00CB74BB">
        <w:rPr>
          <w:rFonts w:ascii="Arial" w:hAnsi="Arial" w:cs="Arial"/>
          <w:color w:val="000000"/>
        </w:rPr>
        <w:t>e</w:t>
      </w:r>
      <w:r w:rsidR="0073279C" w:rsidRPr="00892CE5">
        <w:rPr>
          <w:rFonts w:ascii="Arial" w:hAnsi="Arial" w:cs="Arial"/>
          <w:color w:val="000000"/>
        </w:rPr>
        <w:t xml:space="preserve">n el </w:t>
      </w:r>
      <w:r w:rsidRPr="00892CE5">
        <w:rPr>
          <w:rFonts w:ascii="Arial" w:hAnsi="Arial" w:cs="Arial"/>
          <w:color w:val="000000"/>
        </w:rPr>
        <w:t>cas</w:t>
      </w:r>
      <w:r w:rsidR="002E4565">
        <w:rPr>
          <w:rFonts w:ascii="Arial" w:hAnsi="Arial" w:cs="Arial"/>
          <w:color w:val="000000"/>
        </w:rPr>
        <w:t xml:space="preserve"> de Catalunya</w:t>
      </w:r>
      <w:r w:rsidR="0073279C" w:rsidRPr="00892CE5">
        <w:rPr>
          <w:rFonts w:ascii="Arial" w:hAnsi="Arial" w:cs="Arial"/>
          <w:color w:val="000000"/>
        </w:rPr>
        <w:t xml:space="preserve"> la taxa es situa </w:t>
      </w:r>
      <w:r w:rsidR="002E4565">
        <w:rPr>
          <w:rFonts w:ascii="Arial" w:hAnsi="Arial" w:cs="Arial"/>
          <w:color w:val="000000"/>
        </w:rPr>
        <w:t xml:space="preserve">en termes mitjans dels anys de crisi </w:t>
      </w:r>
      <w:r w:rsidR="00CB74BB">
        <w:rPr>
          <w:rFonts w:ascii="Arial" w:hAnsi="Arial" w:cs="Arial"/>
          <w:color w:val="000000"/>
        </w:rPr>
        <w:t>-</w:t>
      </w:r>
      <w:r w:rsidR="002E4565">
        <w:rPr>
          <w:rFonts w:ascii="Arial" w:hAnsi="Arial" w:cs="Arial"/>
          <w:color w:val="000000"/>
        </w:rPr>
        <w:t>2008-2013</w:t>
      </w:r>
      <w:r w:rsidR="00CB74BB">
        <w:rPr>
          <w:rFonts w:ascii="Arial" w:hAnsi="Arial" w:cs="Arial"/>
          <w:color w:val="000000"/>
        </w:rPr>
        <w:t>-</w:t>
      </w:r>
      <w:r w:rsidR="002E4565">
        <w:rPr>
          <w:rFonts w:ascii="Arial" w:hAnsi="Arial" w:cs="Arial"/>
          <w:color w:val="000000"/>
        </w:rPr>
        <w:t xml:space="preserve"> en el 23,9%, pràcticament igu</w:t>
      </w:r>
      <w:r w:rsidR="00CB74BB">
        <w:rPr>
          <w:rFonts w:ascii="Arial" w:hAnsi="Arial" w:cs="Arial"/>
          <w:color w:val="000000"/>
        </w:rPr>
        <w:t>a</w:t>
      </w:r>
      <w:r w:rsidR="002E4565">
        <w:rPr>
          <w:rFonts w:ascii="Arial" w:hAnsi="Arial" w:cs="Arial"/>
          <w:color w:val="000000"/>
        </w:rPr>
        <w:t>l que la</w:t>
      </w:r>
      <w:r w:rsidR="00CB74BB">
        <w:rPr>
          <w:rFonts w:ascii="Arial" w:hAnsi="Arial" w:cs="Arial"/>
          <w:color w:val="000000"/>
        </w:rPr>
        <w:t xml:space="preserve"> taxa</w:t>
      </w:r>
      <w:r w:rsidR="002E4565">
        <w:rPr>
          <w:rFonts w:ascii="Arial" w:hAnsi="Arial" w:cs="Arial"/>
          <w:color w:val="000000"/>
        </w:rPr>
        <w:t xml:space="preserve"> mitjana de la UE-28 per aquest</w:t>
      </w:r>
      <w:r w:rsidR="00CB74BB">
        <w:rPr>
          <w:rFonts w:ascii="Arial" w:hAnsi="Arial" w:cs="Arial"/>
          <w:color w:val="000000"/>
        </w:rPr>
        <w:t>s mateix</w:t>
      </w:r>
      <w:r w:rsidR="002E4565">
        <w:rPr>
          <w:rFonts w:ascii="Arial" w:hAnsi="Arial" w:cs="Arial"/>
          <w:color w:val="000000"/>
        </w:rPr>
        <w:t xml:space="preserve">os anys. Mentre que a Espanya la taxa de risc de </w:t>
      </w:r>
      <w:r w:rsidR="00CB74BB">
        <w:rPr>
          <w:rFonts w:ascii="Arial" w:hAnsi="Arial" w:cs="Arial"/>
          <w:color w:val="000000"/>
        </w:rPr>
        <w:t>pobresa i/o exclusió social es situa per sobre la mitjana de a UE-28 amb un valor del 26,1%.</w:t>
      </w:r>
    </w:p>
    <w:p w:rsidR="00E848CD" w:rsidRPr="00892CE5" w:rsidRDefault="007D0D7D" w:rsidP="00FE52EE">
      <w:pPr>
        <w:jc w:val="both"/>
        <w:rPr>
          <w:rFonts w:ascii="Arial" w:hAnsi="Arial" w:cs="Arial"/>
          <w:color w:val="000000"/>
        </w:rPr>
      </w:pPr>
      <w:r>
        <w:rPr>
          <w:rFonts w:ascii="Arial" w:hAnsi="Arial" w:cs="Arial"/>
          <w:color w:val="000000"/>
        </w:rPr>
        <w:t>Les dades del 2014</w:t>
      </w:r>
      <w:r w:rsidR="004725F3">
        <w:rPr>
          <w:rFonts w:ascii="Arial" w:hAnsi="Arial" w:cs="Arial"/>
          <w:color w:val="000000"/>
        </w:rPr>
        <w:t xml:space="preserve"> -</w:t>
      </w:r>
      <w:r>
        <w:rPr>
          <w:rFonts w:ascii="Arial" w:hAnsi="Arial" w:cs="Arial"/>
          <w:color w:val="000000"/>
        </w:rPr>
        <w:t>no disp</w:t>
      </w:r>
      <w:r w:rsidR="004725F3">
        <w:rPr>
          <w:rFonts w:ascii="Arial" w:hAnsi="Arial" w:cs="Arial"/>
          <w:color w:val="000000"/>
        </w:rPr>
        <w:t>on</w:t>
      </w:r>
      <w:r>
        <w:rPr>
          <w:rFonts w:ascii="Arial" w:hAnsi="Arial" w:cs="Arial"/>
          <w:color w:val="000000"/>
        </w:rPr>
        <w:t>ibles pel conjunt de la UE-28</w:t>
      </w:r>
      <w:r w:rsidR="004725F3">
        <w:rPr>
          <w:rFonts w:ascii="Arial" w:hAnsi="Arial" w:cs="Arial"/>
          <w:color w:val="000000"/>
        </w:rPr>
        <w:t>-</w:t>
      </w:r>
      <w:r>
        <w:rPr>
          <w:rFonts w:ascii="Arial" w:hAnsi="Arial" w:cs="Arial"/>
          <w:color w:val="000000"/>
        </w:rPr>
        <w:t xml:space="preserve"> mostren que segueix augmentant aquesta taxa tant a Catalunya com a Espanya, fins al 26,0% i el 29,2%, respectivament.</w:t>
      </w:r>
    </w:p>
    <w:p w:rsidR="00446827" w:rsidRDefault="00DB0E31" w:rsidP="00220E83">
      <w:pPr>
        <w:jc w:val="both"/>
        <w:rPr>
          <w:rFonts w:ascii="Arial" w:hAnsi="Arial" w:cs="Arial"/>
          <w:color w:val="000000"/>
        </w:rPr>
      </w:pPr>
      <w:r w:rsidRPr="00DB0E31">
        <w:rPr>
          <w:rFonts w:ascii="Arial" w:hAnsi="Arial" w:cs="Arial"/>
          <w:color w:val="000000"/>
        </w:rPr>
        <w:t xml:space="preserve">L’augment de la taxa del risc de pobresa o exclusió social a Catalunya durant la crisi respon </w:t>
      </w:r>
      <w:r w:rsidR="00446827">
        <w:rPr>
          <w:rFonts w:ascii="Arial" w:hAnsi="Arial" w:cs="Arial"/>
          <w:color w:val="000000"/>
        </w:rPr>
        <w:t xml:space="preserve">per una parat, </w:t>
      </w:r>
      <w:r w:rsidRPr="00DB0E31">
        <w:rPr>
          <w:rFonts w:ascii="Arial" w:hAnsi="Arial" w:cs="Arial"/>
          <w:color w:val="000000"/>
        </w:rPr>
        <w:t>a una relativa estabilitat de la taxa de risc de pobresa -e</w:t>
      </w:r>
      <w:r w:rsidR="00E17E7B" w:rsidRPr="00DB0E31">
        <w:rPr>
          <w:rFonts w:ascii="Arial" w:hAnsi="Arial" w:cs="Arial"/>
          <w:color w:val="000000"/>
        </w:rPr>
        <w:t>l component de mesura de pobresa relativa</w:t>
      </w:r>
      <w:r w:rsidRPr="00DB0E31">
        <w:rPr>
          <w:rFonts w:ascii="Arial" w:hAnsi="Arial" w:cs="Arial"/>
          <w:color w:val="000000"/>
        </w:rPr>
        <w:t>-</w:t>
      </w:r>
      <w:r w:rsidR="00E17E7B" w:rsidRPr="00DB0E31">
        <w:rPr>
          <w:rFonts w:ascii="Arial" w:hAnsi="Arial" w:cs="Arial"/>
          <w:color w:val="000000"/>
        </w:rPr>
        <w:t xml:space="preserve">, </w:t>
      </w:r>
      <w:r w:rsidR="00922653" w:rsidRPr="00DB0E31">
        <w:rPr>
          <w:rFonts w:ascii="Arial" w:hAnsi="Arial" w:cs="Arial"/>
          <w:color w:val="000000"/>
        </w:rPr>
        <w:t xml:space="preserve">vinculada al fet que </w:t>
      </w:r>
      <w:r w:rsidR="00D83E2A" w:rsidRPr="00DB0E31">
        <w:rPr>
          <w:rFonts w:ascii="Arial" w:hAnsi="Arial" w:cs="Arial"/>
          <w:color w:val="000000"/>
        </w:rPr>
        <w:t>des de l’inici de la crisi</w:t>
      </w:r>
      <w:r w:rsidR="00496C84">
        <w:rPr>
          <w:rFonts w:ascii="Arial" w:hAnsi="Arial" w:cs="Arial"/>
          <w:color w:val="000000"/>
        </w:rPr>
        <w:t xml:space="preserve"> </w:t>
      </w:r>
      <w:r w:rsidR="00922653" w:rsidRPr="00DB0E31">
        <w:rPr>
          <w:rFonts w:ascii="Arial" w:hAnsi="Arial" w:cs="Arial"/>
          <w:color w:val="000000"/>
        </w:rPr>
        <w:t>està tenint lloc una caiguda del llindar de pobresa</w:t>
      </w:r>
      <w:r w:rsidR="00775DD0" w:rsidRPr="00DB0E31">
        <w:rPr>
          <w:rFonts w:ascii="Arial" w:hAnsi="Arial" w:cs="Arial"/>
          <w:color w:val="000000"/>
        </w:rPr>
        <w:t xml:space="preserve"> a Catalunya</w:t>
      </w:r>
      <w:r w:rsidR="00446827">
        <w:rPr>
          <w:rFonts w:ascii="Arial" w:hAnsi="Arial" w:cs="Arial"/>
          <w:color w:val="000000"/>
        </w:rPr>
        <w:t xml:space="preserve">. Així, d’acord amb la definició de la taxa AROPE el llindar de pobresa a Catalunya es situa el 2014 en 9.767 euros a l’any (o </w:t>
      </w:r>
      <w:r w:rsidR="000C782B">
        <w:rPr>
          <w:rFonts w:ascii="Arial" w:hAnsi="Arial" w:cs="Arial"/>
          <w:color w:val="000000"/>
        </w:rPr>
        <w:t>814</w:t>
      </w:r>
      <w:r w:rsidR="00F8153D">
        <w:rPr>
          <w:rFonts w:ascii="Arial" w:hAnsi="Arial" w:cs="Arial"/>
          <w:color w:val="000000"/>
        </w:rPr>
        <w:t xml:space="preserve"> </w:t>
      </w:r>
      <w:r w:rsidR="00446827">
        <w:rPr>
          <w:rFonts w:ascii="Arial" w:hAnsi="Arial" w:cs="Arial"/>
          <w:color w:val="000000"/>
        </w:rPr>
        <w:t>€ al mes) per una persona que viu sola –aquest és el nivell de renda per sota del qual es con</w:t>
      </w:r>
      <w:r w:rsidR="00EE1D8A">
        <w:rPr>
          <w:rFonts w:ascii="Arial" w:hAnsi="Arial" w:cs="Arial"/>
          <w:color w:val="000000"/>
        </w:rPr>
        <w:t>sidera que una persona és pobre</w:t>
      </w:r>
      <w:r w:rsidR="0039529B">
        <w:rPr>
          <w:rFonts w:ascii="Arial" w:hAnsi="Arial" w:cs="Arial"/>
          <w:color w:val="000000"/>
        </w:rPr>
        <w:t>.</w:t>
      </w:r>
    </w:p>
    <w:p w:rsidR="00FE52EE" w:rsidRDefault="00446827" w:rsidP="00220E83">
      <w:pPr>
        <w:jc w:val="both"/>
        <w:rPr>
          <w:rFonts w:ascii="Arial" w:hAnsi="Arial" w:cs="Arial"/>
          <w:color w:val="000000"/>
        </w:rPr>
      </w:pPr>
      <w:r>
        <w:rPr>
          <w:rFonts w:ascii="Arial" w:hAnsi="Arial" w:cs="Arial"/>
          <w:color w:val="000000"/>
        </w:rPr>
        <w:t xml:space="preserve">Per una altra part, </w:t>
      </w:r>
      <w:r w:rsidR="00DB0E31" w:rsidRPr="00DB0E31">
        <w:rPr>
          <w:rFonts w:ascii="Arial" w:hAnsi="Arial" w:cs="Arial"/>
          <w:color w:val="000000"/>
        </w:rPr>
        <w:t>els dos altres components</w:t>
      </w:r>
      <w:r>
        <w:rPr>
          <w:rFonts w:ascii="Arial" w:hAnsi="Arial" w:cs="Arial"/>
          <w:color w:val="000000"/>
        </w:rPr>
        <w:t xml:space="preserve"> de</w:t>
      </w:r>
      <w:r w:rsidRPr="00446827">
        <w:rPr>
          <w:rFonts w:ascii="Arial" w:hAnsi="Arial" w:cs="Arial"/>
          <w:color w:val="000000"/>
        </w:rPr>
        <w:t xml:space="preserve"> </w:t>
      </w:r>
      <w:r w:rsidRPr="00DB0E31">
        <w:rPr>
          <w:rFonts w:ascii="Arial" w:hAnsi="Arial" w:cs="Arial"/>
          <w:color w:val="000000"/>
        </w:rPr>
        <w:t>la taxa del risc de pobresa o exclusió social</w:t>
      </w:r>
      <w:r>
        <w:rPr>
          <w:rFonts w:ascii="Arial" w:hAnsi="Arial" w:cs="Arial"/>
          <w:color w:val="000000"/>
        </w:rPr>
        <w:t xml:space="preserve"> </w:t>
      </w:r>
      <w:r w:rsidR="00DB0E31" w:rsidRPr="00DB0E31">
        <w:rPr>
          <w:rFonts w:ascii="Arial" w:hAnsi="Arial" w:cs="Arial"/>
          <w:color w:val="000000"/>
        </w:rPr>
        <w:t>han vist augmentar els seus valors al llarg de la crisi, tant la taxa de baixa intensitat de treball, que ha passat d’afectar el 5,0% de l</w:t>
      </w:r>
      <w:r>
        <w:rPr>
          <w:rFonts w:ascii="Arial" w:hAnsi="Arial" w:cs="Arial"/>
          <w:color w:val="000000"/>
        </w:rPr>
        <w:t xml:space="preserve">a població </w:t>
      </w:r>
      <w:r w:rsidR="00DB0E31" w:rsidRPr="00DB0E31">
        <w:rPr>
          <w:rFonts w:ascii="Arial" w:hAnsi="Arial" w:cs="Arial"/>
          <w:color w:val="000000"/>
        </w:rPr>
        <w:t>catalan</w:t>
      </w:r>
      <w:r>
        <w:rPr>
          <w:rFonts w:ascii="Arial" w:hAnsi="Arial" w:cs="Arial"/>
          <w:color w:val="000000"/>
        </w:rPr>
        <w:t>a</w:t>
      </w:r>
      <w:r w:rsidR="00DB0E31" w:rsidRPr="00DB0E31">
        <w:rPr>
          <w:rFonts w:ascii="Arial" w:hAnsi="Arial" w:cs="Arial"/>
          <w:color w:val="000000"/>
        </w:rPr>
        <w:t xml:space="preserve"> al 12,0% entre el 2007 i el 2014, com la taxa de privació material severa, que ha passat del 3,9% de l</w:t>
      </w:r>
      <w:r>
        <w:rPr>
          <w:rFonts w:ascii="Arial" w:hAnsi="Arial" w:cs="Arial"/>
          <w:color w:val="000000"/>
        </w:rPr>
        <w:t xml:space="preserve">a població </w:t>
      </w:r>
      <w:r w:rsidR="00DB0E31" w:rsidRPr="00DB0E31">
        <w:rPr>
          <w:rFonts w:ascii="Arial" w:hAnsi="Arial" w:cs="Arial"/>
          <w:color w:val="000000"/>
        </w:rPr>
        <w:t>al 6,3%</w:t>
      </w:r>
      <w:r w:rsidR="00496C84">
        <w:rPr>
          <w:rFonts w:ascii="Arial" w:hAnsi="Arial" w:cs="Arial"/>
          <w:color w:val="000000"/>
        </w:rPr>
        <w:t xml:space="preserve"> </w:t>
      </w:r>
      <w:r w:rsidR="00DB0E31" w:rsidRPr="00DB0E31">
        <w:rPr>
          <w:rFonts w:ascii="Arial" w:hAnsi="Arial" w:cs="Arial"/>
          <w:color w:val="000000"/>
        </w:rPr>
        <w:t>entre aquests dos mateixos anys.</w:t>
      </w:r>
    </w:p>
    <w:p w:rsidR="009A1435" w:rsidRDefault="00446827" w:rsidP="00220E83">
      <w:pPr>
        <w:jc w:val="both"/>
        <w:rPr>
          <w:rFonts w:ascii="Arial" w:hAnsi="Arial" w:cs="Arial"/>
          <w:color w:val="000000"/>
        </w:rPr>
      </w:pPr>
      <w:r>
        <w:rPr>
          <w:rFonts w:ascii="Arial" w:hAnsi="Arial" w:cs="Arial"/>
          <w:color w:val="000000"/>
        </w:rPr>
        <w:lastRenderedPageBreak/>
        <w:t>Des d’un perspectiva de gènere, l</w:t>
      </w:r>
      <w:r w:rsidR="009A1435">
        <w:rPr>
          <w:rFonts w:ascii="Arial" w:hAnsi="Arial" w:cs="Arial"/>
          <w:color w:val="000000"/>
        </w:rPr>
        <w:t xml:space="preserve">a taxa de risc de pobresa s’ha mantingut al llarg dels anys de crisi relativament més elevada per les dones que pels homes, si bé amb una tendència a la reducció de les diferències que el 2014 són 1,4 punt percentuals, essent del </w:t>
      </w:r>
      <w:r w:rsidR="004D0A78">
        <w:rPr>
          <w:rFonts w:ascii="Arial" w:hAnsi="Arial" w:cs="Arial"/>
          <w:color w:val="000000"/>
        </w:rPr>
        <w:t>21,6% (808 milers de dones) per les dones i del 20,2% (730 milers d’homes) pels homes</w:t>
      </w:r>
      <w:r w:rsidR="009A1435">
        <w:rPr>
          <w:rFonts w:ascii="Arial" w:hAnsi="Arial" w:cs="Arial"/>
          <w:color w:val="000000"/>
        </w:rPr>
        <w:t>.</w:t>
      </w:r>
    </w:p>
    <w:p w:rsidR="0040223C" w:rsidRDefault="0040223C" w:rsidP="00220E83">
      <w:pPr>
        <w:jc w:val="both"/>
        <w:rPr>
          <w:rFonts w:ascii="Arial" w:hAnsi="Arial" w:cs="Arial"/>
          <w:color w:val="000000"/>
        </w:rPr>
      </w:pPr>
      <w:r>
        <w:rPr>
          <w:rFonts w:ascii="Arial" w:hAnsi="Arial" w:cs="Arial"/>
          <w:color w:val="000000"/>
        </w:rPr>
        <w:t>Per edats, els joves presenten una taxa de risc de pobresa mol superior a la resta de la població. En el 2014 la taxa de risc de pobresa dels joves</w:t>
      </w:r>
      <w:r w:rsidR="003E74F7">
        <w:rPr>
          <w:rFonts w:ascii="Arial" w:hAnsi="Arial" w:cs="Arial"/>
          <w:color w:val="000000"/>
        </w:rPr>
        <w:t xml:space="preserve"> de menys de 18 anys</w:t>
      </w:r>
      <w:r>
        <w:rPr>
          <w:rFonts w:ascii="Arial" w:hAnsi="Arial" w:cs="Arial"/>
          <w:color w:val="000000"/>
        </w:rPr>
        <w:t xml:space="preserve"> (29,9%) és pràcticament de deu punts percentuals més alta que la de la població de 18 a 64 anys, i el doble que la de població de més de 64 anys.</w:t>
      </w:r>
    </w:p>
    <w:p w:rsidR="00D554F5" w:rsidRDefault="005C63C2" w:rsidP="00220E83">
      <w:pPr>
        <w:jc w:val="both"/>
        <w:rPr>
          <w:rFonts w:ascii="Arial" w:hAnsi="Arial" w:cs="Arial"/>
          <w:color w:val="000000"/>
        </w:rPr>
      </w:pPr>
      <w:r>
        <w:rPr>
          <w:rFonts w:ascii="Arial" w:hAnsi="Arial" w:cs="Arial"/>
          <w:color w:val="000000"/>
        </w:rPr>
        <w:t>Finalment, també mostrem per Catalunya</w:t>
      </w:r>
      <w:r w:rsidR="00D554F5">
        <w:rPr>
          <w:rFonts w:ascii="Arial" w:hAnsi="Arial" w:cs="Arial"/>
          <w:color w:val="000000"/>
        </w:rPr>
        <w:t xml:space="preserve"> l’evolució de dos indicadors del volum de població que es troba en situació de carències materials.</w:t>
      </w:r>
    </w:p>
    <w:p w:rsidR="005C63C2" w:rsidRDefault="00D554F5" w:rsidP="00220E83">
      <w:pPr>
        <w:jc w:val="both"/>
        <w:rPr>
          <w:rFonts w:ascii="Arial" w:hAnsi="Arial" w:cs="Arial"/>
          <w:color w:val="000000"/>
        </w:rPr>
      </w:pPr>
      <w:r>
        <w:rPr>
          <w:rFonts w:ascii="Arial" w:hAnsi="Arial" w:cs="Arial"/>
          <w:color w:val="000000"/>
        </w:rPr>
        <w:t>Per una part,</w:t>
      </w:r>
      <w:r w:rsidR="005C63C2">
        <w:rPr>
          <w:rFonts w:ascii="Arial" w:hAnsi="Arial" w:cs="Arial"/>
          <w:color w:val="000000"/>
        </w:rPr>
        <w:t xml:space="preserve"> l’evolució del nombre absolut de persones que viuen en llars on no hi ha cap perceptor d’ingressos ha anat augmentat al llarg dels anys de crisi, i si bé mostra una lleugera reducció els anys 2013 i 2014, encara es situa l’any 2014 en 201 mil persones, pràcticament el doble de les qui hi havia l’any 2007.</w:t>
      </w:r>
    </w:p>
    <w:p w:rsidR="00D22D1C" w:rsidRDefault="00D554F5" w:rsidP="00220E83">
      <w:pPr>
        <w:jc w:val="both"/>
        <w:rPr>
          <w:rFonts w:ascii="Arial" w:hAnsi="Arial" w:cs="Arial"/>
          <w:color w:val="000000"/>
        </w:rPr>
      </w:pPr>
      <w:r>
        <w:rPr>
          <w:rFonts w:ascii="Arial" w:hAnsi="Arial" w:cs="Arial"/>
          <w:color w:val="000000"/>
        </w:rPr>
        <w:t>Per una altra part, segu</w:t>
      </w:r>
      <w:r w:rsidR="00D22D1C">
        <w:rPr>
          <w:rFonts w:ascii="Arial" w:hAnsi="Arial" w:cs="Arial"/>
          <w:color w:val="000000"/>
        </w:rPr>
        <w:t>e</w:t>
      </w:r>
      <w:r>
        <w:rPr>
          <w:rFonts w:ascii="Arial" w:hAnsi="Arial" w:cs="Arial"/>
          <w:color w:val="000000"/>
        </w:rPr>
        <w:t>ix augmentant el percentatge de persones que indiquen</w:t>
      </w:r>
      <w:r w:rsidR="00D22D1C">
        <w:rPr>
          <w:rFonts w:ascii="Arial" w:hAnsi="Arial" w:cs="Arial"/>
          <w:color w:val="000000"/>
        </w:rPr>
        <w:t xml:space="preserve"> alguna dificultat per arribar a final de mes (certa dificultat, dificultat o molta dificultat), fins assolir el 67,2% de la població catalana l’any 2014, quan abans de la crisi aquest percentatge era del 60,2% en termes mitjans dels anys 2004-2007.</w:t>
      </w:r>
    </w:p>
    <w:p w:rsidR="00D554F5" w:rsidRDefault="00D22D1C" w:rsidP="00220E83">
      <w:pPr>
        <w:jc w:val="both"/>
        <w:rPr>
          <w:rFonts w:ascii="Arial" w:hAnsi="Arial" w:cs="Arial"/>
          <w:color w:val="000000"/>
        </w:rPr>
      </w:pPr>
      <w:r>
        <w:rPr>
          <w:rFonts w:ascii="Arial" w:hAnsi="Arial" w:cs="Arial"/>
          <w:color w:val="000000"/>
        </w:rPr>
        <w:t>El percentatge de població que indica moltes dificultats per arribar a final de mes és del 12,9% l’any 2014, que si bé s’ha reduït en relació amb el 2013 encara està per sobre del seu valor mitjà en els anys</w:t>
      </w:r>
      <w:r w:rsidR="0039529B">
        <w:rPr>
          <w:rFonts w:ascii="Arial" w:hAnsi="Arial" w:cs="Arial"/>
          <w:color w:val="000000"/>
        </w:rPr>
        <w:t xml:space="preserve"> previs a la crisi, de l’11,8%.</w:t>
      </w:r>
    </w:p>
    <w:p w:rsidR="00BF39D9" w:rsidRDefault="00BF39D9" w:rsidP="00220E83">
      <w:pPr>
        <w:jc w:val="both"/>
        <w:rPr>
          <w:rFonts w:ascii="Arial" w:hAnsi="Arial" w:cs="Arial"/>
          <w:color w:val="000000"/>
        </w:rPr>
      </w:pPr>
    </w:p>
    <w:p w:rsidR="003507FA" w:rsidRPr="00007822" w:rsidRDefault="00C476E9" w:rsidP="004A0C97">
      <w:pPr>
        <w:spacing w:after="0"/>
        <w:rPr>
          <w:rFonts w:ascii="Arial" w:hAnsi="Arial" w:cs="Arial"/>
          <w:b/>
          <w:sz w:val="20"/>
          <w:szCs w:val="20"/>
        </w:rPr>
      </w:pPr>
      <w:bookmarkStart w:id="21" w:name="OLE_LINK18"/>
      <w:r w:rsidRPr="00594555">
        <w:rPr>
          <w:rFonts w:ascii="Arial" w:hAnsi="Arial" w:cs="Arial"/>
          <w:b/>
          <w:sz w:val="20"/>
          <w:szCs w:val="20"/>
        </w:rPr>
        <w:t>Evolució de la taxa de risc de pobres</w:t>
      </w:r>
      <w:r w:rsidR="00D40200" w:rsidRPr="00594555">
        <w:rPr>
          <w:rFonts w:ascii="Arial" w:hAnsi="Arial" w:cs="Arial"/>
          <w:b/>
          <w:sz w:val="20"/>
          <w:szCs w:val="20"/>
        </w:rPr>
        <w:t>a</w:t>
      </w:r>
      <w:r w:rsidR="00AF0E1D">
        <w:rPr>
          <w:rFonts w:ascii="Arial" w:hAnsi="Arial" w:cs="Arial"/>
          <w:b/>
          <w:sz w:val="20"/>
          <w:szCs w:val="20"/>
        </w:rPr>
        <w:t xml:space="preserve"> </w:t>
      </w:r>
      <w:r w:rsidRPr="00594555">
        <w:rPr>
          <w:rFonts w:ascii="Arial" w:hAnsi="Arial" w:cs="Arial"/>
          <w:b/>
          <w:sz w:val="20"/>
          <w:szCs w:val="20"/>
        </w:rPr>
        <w:t>o exclusió</w:t>
      </w:r>
      <w:r w:rsidR="00C32612" w:rsidRPr="00594555">
        <w:rPr>
          <w:rFonts w:ascii="Arial" w:hAnsi="Arial" w:cs="Arial"/>
          <w:b/>
          <w:sz w:val="20"/>
          <w:szCs w:val="20"/>
        </w:rPr>
        <w:t xml:space="preserve"> social</w:t>
      </w:r>
      <w:r w:rsidR="004161B3" w:rsidRPr="00594555">
        <w:rPr>
          <w:rFonts w:ascii="Arial" w:hAnsi="Arial" w:cs="Arial"/>
          <w:b/>
          <w:sz w:val="20"/>
          <w:szCs w:val="20"/>
        </w:rPr>
        <w:t xml:space="preserve"> (taxa AROPE). 200</w:t>
      </w:r>
      <w:r w:rsidR="004354D1">
        <w:rPr>
          <w:rFonts w:ascii="Arial" w:hAnsi="Arial" w:cs="Arial"/>
          <w:b/>
          <w:sz w:val="20"/>
          <w:szCs w:val="20"/>
        </w:rPr>
        <w:t>7</w:t>
      </w:r>
      <w:r w:rsidR="004161B3" w:rsidRPr="00594555">
        <w:rPr>
          <w:rFonts w:ascii="Arial" w:hAnsi="Arial" w:cs="Arial"/>
          <w:b/>
          <w:sz w:val="20"/>
          <w:szCs w:val="20"/>
        </w:rPr>
        <w:t>-201</w:t>
      </w:r>
      <w:r w:rsidR="004354D1">
        <w:rPr>
          <w:rFonts w:ascii="Arial" w:hAnsi="Arial" w:cs="Arial"/>
          <w:b/>
          <w:sz w:val="20"/>
          <w:szCs w:val="20"/>
        </w:rPr>
        <w:t>4</w:t>
      </w:r>
    </w:p>
    <w:bookmarkEnd w:id="21"/>
    <w:p w:rsidR="00C32612" w:rsidRPr="004A0C97" w:rsidRDefault="008E1C35" w:rsidP="00007822">
      <w:pPr>
        <w:spacing w:after="0"/>
        <w:jc w:val="both"/>
        <w:rPr>
          <w:rFonts w:ascii="Arial" w:hAnsi="Arial" w:cs="Arial"/>
          <w:sz w:val="16"/>
          <w:szCs w:val="16"/>
        </w:rPr>
      </w:pPr>
      <w:r w:rsidRPr="008E1C35">
        <w:rPr>
          <w:noProof/>
          <w:szCs w:val="16"/>
          <w:lang w:eastAsia="ca-ES"/>
        </w:rPr>
        <w:drawing>
          <wp:inline distT="0" distB="0" distL="0" distR="0">
            <wp:extent cx="5400040" cy="2885083"/>
            <wp:effectExtent l="19050" t="0" r="0" b="0"/>
            <wp:docPr id="28"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F53289" w:rsidRDefault="00F53289" w:rsidP="00007822">
      <w:pPr>
        <w:spacing w:after="0"/>
        <w:jc w:val="both"/>
        <w:rPr>
          <w:rFonts w:ascii="Arial" w:hAnsi="Arial" w:cs="Arial"/>
          <w:sz w:val="16"/>
          <w:szCs w:val="16"/>
        </w:rPr>
      </w:pPr>
      <w:r>
        <w:rPr>
          <w:rFonts w:ascii="Arial" w:hAnsi="Arial" w:cs="Arial"/>
          <w:sz w:val="16"/>
          <w:szCs w:val="16"/>
        </w:rPr>
        <w:t xml:space="preserve">Nota: </w:t>
      </w:r>
      <w:r w:rsidR="004354D1">
        <w:rPr>
          <w:rFonts w:ascii="Arial" w:hAnsi="Arial" w:cs="Arial"/>
          <w:sz w:val="16"/>
          <w:szCs w:val="16"/>
        </w:rPr>
        <w:t>el darrer valor de la UE-28 és de l’any 2013</w:t>
      </w:r>
      <w:r>
        <w:rPr>
          <w:rFonts w:ascii="Arial" w:hAnsi="Arial" w:cs="Arial"/>
          <w:sz w:val="16"/>
          <w:szCs w:val="16"/>
        </w:rPr>
        <w:t>.</w:t>
      </w:r>
      <w:r w:rsidR="004354D1">
        <w:rPr>
          <w:rFonts w:ascii="Arial" w:hAnsi="Arial" w:cs="Arial"/>
          <w:sz w:val="16"/>
          <w:szCs w:val="16"/>
        </w:rPr>
        <w:t xml:space="preserve"> El valor del 2007 de la UE-28 s’obté aplicant les taxes de creixement de la taxa de risc de pobresa o exclusió social de la UE-27 entre el 2007 i el 2013. En el cas de Catalunya el valor del 2007 s’obté aplicant al valor del 2009 les taxes de creixement de la taxa de risc de pobresa o d’exclusió social de l’ECV en base 2004</w:t>
      </w:r>
    </w:p>
    <w:p w:rsidR="007932F9" w:rsidRDefault="004161B3" w:rsidP="00220E83">
      <w:pPr>
        <w:jc w:val="both"/>
        <w:rPr>
          <w:rFonts w:ascii="Arial" w:hAnsi="Arial" w:cs="Arial"/>
          <w:b/>
          <w:sz w:val="16"/>
          <w:szCs w:val="16"/>
        </w:rPr>
      </w:pPr>
      <w:r w:rsidRPr="00A83FB2">
        <w:rPr>
          <w:rFonts w:ascii="Arial" w:hAnsi="Arial" w:cs="Arial"/>
          <w:sz w:val="16"/>
          <w:szCs w:val="16"/>
        </w:rPr>
        <w:t>Font: Eurostat i Idescat</w:t>
      </w:r>
      <w:r w:rsidR="004354D1">
        <w:rPr>
          <w:rFonts w:ascii="Arial" w:hAnsi="Arial" w:cs="Arial"/>
          <w:sz w:val="16"/>
          <w:szCs w:val="16"/>
        </w:rPr>
        <w:t xml:space="preserve"> a partir de l’ECV base 2013.</w:t>
      </w:r>
    </w:p>
    <w:p w:rsidR="00EE1D8A" w:rsidRPr="00EE1D8A" w:rsidRDefault="00EE1D8A" w:rsidP="00220E83">
      <w:pPr>
        <w:jc w:val="both"/>
        <w:rPr>
          <w:rFonts w:ascii="Arial" w:hAnsi="Arial" w:cs="Arial"/>
          <w:b/>
          <w:sz w:val="16"/>
          <w:szCs w:val="16"/>
        </w:rPr>
      </w:pPr>
    </w:p>
    <w:p w:rsidR="00AD7993" w:rsidRPr="00007822" w:rsidRDefault="00AD7993" w:rsidP="00AD7993">
      <w:pPr>
        <w:spacing w:after="0"/>
        <w:rPr>
          <w:rFonts w:ascii="Arial" w:hAnsi="Arial" w:cs="Arial"/>
          <w:b/>
          <w:sz w:val="20"/>
          <w:szCs w:val="20"/>
        </w:rPr>
      </w:pPr>
      <w:r w:rsidRPr="00594555">
        <w:rPr>
          <w:rFonts w:ascii="Arial" w:hAnsi="Arial" w:cs="Arial"/>
          <w:b/>
          <w:sz w:val="20"/>
          <w:szCs w:val="20"/>
        </w:rPr>
        <w:t>Evolució de la taxa de risc de pobresa</w:t>
      </w:r>
      <w:r w:rsidR="00A31485">
        <w:rPr>
          <w:rFonts w:ascii="Arial" w:hAnsi="Arial" w:cs="Arial"/>
          <w:b/>
          <w:sz w:val="20"/>
          <w:szCs w:val="20"/>
        </w:rPr>
        <w:t xml:space="preserve"> </w:t>
      </w:r>
      <w:r w:rsidRPr="00594555">
        <w:rPr>
          <w:rFonts w:ascii="Arial" w:hAnsi="Arial" w:cs="Arial"/>
          <w:b/>
          <w:sz w:val="20"/>
          <w:szCs w:val="20"/>
        </w:rPr>
        <w:t>o exclusió social (taxa AROPE). 200</w:t>
      </w:r>
      <w:r>
        <w:rPr>
          <w:rFonts w:ascii="Arial" w:hAnsi="Arial" w:cs="Arial"/>
          <w:b/>
          <w:sz w:val="20"/>
          <w:szCs w:val="20"/>
        </w:rPr>
        <w:t>4</w:t>
      </w:r>
      <w:r w:rsidRPr="00594555">
        <w:rPr>
          <w:rFonts w:ascii="Arial" w:hAnsi="Arial" w:cs="Arial"/>
          <w:b/>
          <w:sz w:val="20"/>
          <w:szCs w:val="20"/>
        </w:rPr>
        <w:t>-201</w:t>
      </w:r>
      <w:r>
        <w:rPr>
          <w:rFonts w:ascii="Arial" w:hAnsi="Arial" w:cs="Arial"/>
          <w:b/>
          <w:sz w:val="20"/>
          <w:szCs w:val="20"/>
        </w:rPr>
        <w:t>4</w:t>
      </w:r>
    </w:p>
    <w:p w:rsidR="00516FBB" w:rsidRPr="00AD7993" w:rsidRDefault="00AD7993" w:rsidP="00AD7993">
      <w:pPr>
        <w:spacing w:after="0"/>
        <w:jc w:val="both"/>
        <w:rPr>
          <w:rFonts w:ascii="Arial" w:hAnsi="Arial" w:cs="Arial"/>
          <w:sz w:val="16"/>
          <w:szCs w:val="16"/>
        </w:rPr>
      </w:pPr>
      <w:r w:rsidRPr="00AD7993">
        <w:rPr>
          <w:noProof/>
          <w:lang w:eastAsia="ca-ES"/>
        </w:rPr>
        <w:drawing>
          <wp:inline distT="0" distB="0" distL="0" distR="0">
            <wp:extent cx="5400040" cy="2883228"/>
            <wp:effectExtent l="19050" t="0" r="0" b="0"/>
            <wp:docPr id="50"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srcRect/>
                    <a:stretch>
                      <a:fillRect/>
                    </a:stretch>
                  </pic:blipFill>
                  <pic:spPr bwMode="auto">
                    <a:xfrm>
                      <a:off x="0" y="0"/>
                      <a:ext cx="5400040" cy="2883228"/>
                    </a:xfrm>
                    <a:prstGeom prst="rect">
                      <a:avLst/>
                    </a:prstGeom>
                    <a:noFill/>
                    <a:ln w="9525">
                      <a:noFill/>
                      <a:miter lim="800000"/>
                      <a:headEnd/>
                      <a:tailEnd/>
                    </a:ln>
                  </pic:spPr>
                </pic:pic>
              </a:graphicData>
            </a:graphic>
          </wp:inline>
        </w:drawing>
      </w:r>
    </w:p>
    <w:p w:rsidR="00AD7993" w:rsidRDefault="00AD7993" w:rsidP="00AD7993">
      <w:pPr>
        <w:spacing w:after="0"/>
        <w:jc w:val="both"/>
        <w:rPr>
          <w:rFonts w:ascii="Arial" w:hAnsi="Arial" w:cs="Arial"/>
          <w:sz w:val="16"/>
          <w:szCs w:val="16"/>
        </w:rPr>
      </w:pPr>
      <w:r w:rsidRPr="004A0C97">
        <w:rPr>
          <w:rFonts w:ascii="Arial" w:hAnsi="Arial" w:cs="Arial"/>
          <w:sz w:val="16"/>
          <w:szCs w:val="16"/>
        </w:rPr>
        <w:t xml:space="preserve">Nota: els valors </w:t>
      </w:r>
      <w:r>
        <w:rPr>
          <w:rFonts w:ascii="Arial" w:hAnsi="Arial" w:cs="Arial"/>
          <w:sz w:val="16"/>
          <w:szCs w:val="16"/>
        </w:rPr>
        <w:t xml:space="preserve">d’Espanya i Catalunya </w:t>
      </w:r>
      <w:r w:rsidRPr="004A0C97">
        <w:rPr>
          <w:rFonts w:ascii="Arial" w:hAnsi="Arial" w:cs="Arial"/>
          <w:sz w:val="16"/>
          <w:szCs w:val="16"/>
        </w:rPr>
        <w:t>dels</w:t>
      </w:r>
      <w:r w:rsidR="00C149A6">
        <w:rPr>
          <w:rFonts w:ascii="Arial" w:hAnsi="Arial" w:cs="Arial"/>
          <w:sz w:val="16"/>
          <w:szCs w:val="16"/>
        </w:rPr>
        <w:t xml:space="preserve"> </w:t>
      </w:r>
      <w:r w:rsidRPr="004A0C97">
        <w:rPr>
          <w:rFonts w:ascii="Arial" w:hAnsi="Arial" w:cs="Arial"/>
          <w:sz w:val="16"/>
          <w:szCs w:val="16"/>
        </w:rPr>
        <w:t>anys 200</w:t>
      </w:r>
      <w:r>
        <w:rPr>
          <w:rFonts w:ascii="Arial" w:hAnsi="Arial" w:cs="Arial"/>
          <w:sz w:val="16"/>
          <w:szCs w:val="16"/>
        </w:rPr>
        <w:t>4-</w:t>
      </w:r>
      <w:r w:rsidRPr="004A0C97">
        <w:rPr>
          <w:rFonts w:ascii="Arial" w:hAnsi="Arial" w:cs="Arial"/>
          <w:sz w:val="16"/>
          <w:szCs w:val="16"/>
        </w:rPr>
        <w:t>2008 s’obtenen aplicant als valors del 2009 les taxes de creixement dels valors de les</w:t>
      </w:r>
      <w:r>
        <w:rPr>
          <w:rFonts w:ascii="Arial" w:hAnsi="Arial" w:cs="Arial"/>
          <w:sz w:val="16"/>
          <w:szCs w:val="16"/>
        </w:rPr>
        <w:t xml:space="preserve"> mateixes variables de l’ECV en base 2004. Els valors de la UE-28 dels anys 2005-2009 s’obtenen aplicant al valor del 2010 les taxes de creixement de la mateixa variable per la UE-27.</w:t>
      </w:r>
    </w:p>
    <w:p w:rsidR="00AD7993" w:rsidRDefault="00AD7993" w:rsidP="00AD7993">
      <w:pPr>
        <w:jc w:val="both"/>
        <w:rPr>
          <w:rFonts w:ascii="Arial" w:hAnsi="Arial" w:cs="Arial"/>
          <w:sz w:val="16"/>
          <w:szCs w:val="16"/>
        </w:rPr>
      </w:pPr>
      <w:r w:rsidRPr="00A83FB2">
        <w:rPr>
          <w:rFonts w:ascii="Arial" w:hAnsi="Arial" w:cs="Arial"/>
          <w:sz w:val="16"/>
          <w:szCs w:val="16"/>
        </w:rPr>
        <w:t>Font:</w:t>
      </w:r>
      <w:r>
        <w:rPr>
          <w:rFonts w:ascii="Arial" w:hAnsi="Arial" w:cs="Arial"/>
          <w:sz w:val="16"/>
          <w:szCs w:val="16"/>
        </w:rPr>
        <w:t xml:space="preserve"> Elaboració pròpia a partir d’Eurostat i d’</w:t>
      </w:r>
      <w:r w:rsidRPr="00A83FB2">
        <w:rPr>
          <w:rFonts w:ascii="Arial" w:hAnsi="Arial" w:cs="Arial"/>
          <w:sz w:val="16"/>
          <w:szCs w:val="16"/>
        </w:rPr>
        <w:t>Idescat</w:t>
      </w:r>
      <w:r>
        <w:rPr>
          <w:rFonts w:ascii="Arial" w:hAnsi="Arial" w:cs="Arial"/>
          <w:sz w:val="16"/>
          <w:szCs w:val="16"/>
        </w:rPr>
        <w:t xml:space="preserve"> a partir de les ECV base 2013 i ECV base 2004.</w:t>
      </w:r>
    </w:p>
    <w:p w:rsidR="0039529B" w:rsidRPr="0039529B" w:rsidRDefault="0039529B" w:rsidP="00AD7993">
      <w:pPr>
        <w:jc w:val="both"/>
        <w:rPr>
          <w:rFonts w:ascii="Arial" w:hAnsi="Arial" w:cs="Arial"/>
        </w:rPr>
      </w:pPr>
    </w:p>
    <w:p w:rsidR="00516FBB" w:rsidRDefault="00516FBB" w:rsidP="0039529B">
      <w:pPr>
        <w:spacing w:after="0"/>
        <w:jc w:val="both"/>
        <w:rPr>
          <w:rFonts w:ascii="Arial" w:hAnsi="Arial" w:cs="Arial"/>
          <w:b/>
        </w:rPr>
      </w:pPr>
      <w:r w:rsidRPr="00594555">
        <w:rPr>
          <w:rFonts w:ascii="Arial" w:hAnsi="Arial" w:cs="Arial"/>
          <w:b/>
          <w:sz w:val="20"/>
          <w:szCs w:val="20"/>
        </w:rPr>
        <w:t>Evolució de la taxa de risc de pobresa o exclusió social (taxa AROPE)</w:t>
      </w:r>
      <w:r w:rsidRPr="00594555">
        <w:rPr>
          <w:rStyle w:val="Refdenotaalpie"/>
          <w:rFonts w:ascii="Arial" w:hAnsi="Arial" w:cs="Arial"/>
          <w:b/>
          <w:sz w:val="20"/>
          <w:szCs w:val="20"/>
        </w:rPr>
        <w:footnoteReference w:id="10"/>
      </w:r>
      <w:r>
        <w:rPr>
          <w:rFonts w:ascii="Arial" w:hAnsi="Arial" w:cs="Arial"/>
          <w:b/>
          <w:sz w:val="20"/>
          <w:szCs w:val="20"/>
        </w:rPr>
        <w:t xml:space="preserve"> i els seus components</w:t>
      </w:r>
      <w:r w:rsidRPr="00594555">
        <w:rPr>
          <w:rFonts w:ascii="Arial" w:hAnsi="Arial" w:cs="Arial"/>
          <w:b/>
          <w:sz w:val="20"/>
          <w:szCs w:val="20"/>
        </w:rPr>
        <w:t>. Catalunya</w:t>
      </w:r>
      <w:r>
        <w:rPr>
          <w:rFonts w:ascii="Arial" w:hAnsi="Arial" w:cs="Arial"/>
          <w:b/>
          <w:sz w:val="20"/>
          <w:szCs w:val="20"/>
        </w:rPr>
        <w:t>,</w:t>
      </w:r>
      <w:r w:rsidRPr="00594555">
        <w:rPr>
          <w:rFonts w:ascii="Arial" w:hAnsi="Arial" w:cs="Arial"/>
          <w:b/>
          <w:sz w:val="20"/>
          <w:szCs w:val="20"/>
        </w:rPr>
        <w:t xml:space="preserve"> 200</w:t>
      </w:r>
      <w:r w:rsidR="00FB35EC">
        <w:rPr>
          <w:rFonts w:ascii="Arial" w:hAnsi="Arial" w:cs="Arial"/>
          <w:b/>
          <w:sz w:val="20"/>
          <w:szCs w:val="20"/>
        </w:rPr>
        <w:t>4</w:t>
      </w:r>
      <w:r w:rsidRPr="00594555">
        <w:rPr>
          <w:rFonts w:ascii="Arial" w:hAnsi="Arial" w:cs="Arial"/>
          <w:b/>
          <w:sz w:val="20"/>
          <w:szCs w:val="20"/>
        </w:rPr>
        <w:t>-201</w:t>
      </w:r>
      <w:r>
        <w:rPr>
          <w:rFonts w:ascii="Arial" w:hAnsi="Arial" w:cs="Arial"/>
          <w:b/>
          <w:sz w:val="20"/>
          <w:szCs w:val="20"/>
        </w:rPr>
        <w:t>4</w:t>
      </w:r>
    </w:p>
    <w:p w:rsidR="00516FBB" w:rsidRPr="00516FBB" w:rsidRDefault="00516FBB" w:rsidP="00516FBB">
      <w:pPr>
        <w:spacing w:after="0"/>
        <w:jc w:val="both"/>
        <w:rPr>
          <w:rFonts w:ascii="Arial" w:hAnsi="Arial" w:cs="Arial"/>
          <w:sz w:val="16"/>
          <w:szCs w:val="16"/>
        </w:rPr>
      </w:pPr>
      <w:r w:rsidRPr="00516FBB">
        <w:rPr>
          <w:noProof/>
          <w:lang w:eastAsia="ca-ES"/>
        </w:rPr>
        <w:drawing>
          <wp:inline distT="0" distB="0" distL="0" distR="0">
            <wp:extent cx="5400040" cy="2883228"/>
            <wp:effectExtent l="19050" t="0" r="0" b="0"/>
            <wp:docPr id="9"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srcRect/>
                    <a:stretch>
                      <a:fillRect/>
                    </a:stretch>
                  </pic:blipFill>
                  <pic:spPr bwMode="auto">
                    <a:xfrm>
                      <a:off x="0" y="0"/>
                      <a:ext cx="5400040" cy="2883228"/>
                    </a:xfrm>
                    <a:prstGeom prst="rect">
                      <a:avLst/>
                    </a:prstGeom>
                    <a:noFill/>
                    <a:ln w="9525">
                      <a:noFill/>
                      <a:miter lim="800000"/>
                      <a:headEnd/>
                      <a:tailEnd/>
                    </a:ln>
                  </pic:spPr>
                </pic:pic>
              </a:graphicData>
            </a:graphic>
          </wp:inline>
        </w:drawing>
      </w:r>
    </w:p>
    <w:p w:rsidR="00516FBB" w:rsidRDefault="00516FBB" w:rsidP="00516FBB">
      <w:pPr>
        <w:spacing w:after="0"/>
        <w:jc w:val="both"/>
        <w:rPr>
          <w:rFonts w:ascii="Arial" w:hAnsi="Arial" w:cs="Arial"/>
          <w:sz w:val="16"/>
          <w:szCs w:val="16"/>
        </w:rPr>
      </w:pPr>
      <w:r w:rsidRPr="004A0C97">
        <w:rPr>
          <w:rFonts w:ascii="Arial" w:hAnsi="Arial" w:cs="Arial"/>
          <w:sz w:val="16"/>
          <w:szCs w:val="16"/>
        </w:rPr>
        <w:t>Nota: els valors dels</w:t>
      </w:r>
      <w:r w:rsidR="00C149A6">
        <w:rPr>
          <w:rFonts w:ascii="Arial" w:hAnsi="Arial" w:cs="Arial"/>
          <w:sz w:val="16"/>
          <w:szCs w:val="16"/>
        </w:rPr>
        <w:t xml:space="preserve"> </w:t>
      </w:r>
      <w:r w:rsidRPr="004A0C97">
        <w:rPr>
          <w:rFonts w:ascii="Arial" w:hAnsi="Arial" w:cs="Arial"/>
          <w:sz w:val="16"/>
          <w:szCs w:val="16"/>
        </w:rPr>
        <w:t>anys 200</w:t>
      </w:r>
      <w:r>
        <w:rPr>
          <w:rFonts w:ascii="Arial" w:hAnsi="Arial" w:cs="Arial"/>
          <w:sz w:val="16"/>
          <w:szCs w:val="16"/>
        </w:rPr>
        <w:t>4-</w:t>
      </w:r>
      <w:r w:rsidRPr="004A0C97">
        <w:rPr>
          <w:rFonts w:ascii="Arial" w:hAnsi="Arial" w:cs="Arial"/>
          <w:sz w:val="16"/>
          <w:szCs w:val="16"/>
        </w:rPr>
        <w:t>2008 s’obtenen aplicant als valors del 2009 les taxes de creixement dels valors de les</w:t>
      </w:r>
      <w:r>
        <w:rPr>
          <w:rFonts w:ascii="Arial" w:hAnsi="Arial" w:cs="Arial"/>
          <w:sz w:val="16"/>
          <w:szCs w:val="16"/>
        </w:rPr>
        <w:t xml:space="preserve"> mateixes variables de l’ECV en base 2004.</w:t>
      </w:r>
    </w:p>
    <w:p w:rsidR="00516FBB" w:rsidRDefault="00516FBB" w:rsidP="00516FBB">
      <w:pPr>
        <w:jc w:val="both"/>
        <w:rPr>
          <w:rFonts w:ascii="Arial" w:hAnsi="Arial" w:cs="Arial"/>
          <w:sz w:val="16"/>
          <w:szCs w:val="16"/>
        </w:rPr>
      </w:pPr>
      <w:r w:rsidRPr="00A83FB2">
        <w:rPr>
          <w:rFonts w:ascii="Arial" w:hAnsi="Arial" w:cs="Arial"/>
          <w:sz w:val="16"/>
          <w:szCs w:val="16"/>
        </w:rPr>
        <w:t>Font:</w:t>
      </w:r>
      <w:r>
        <w:rPr>
          <w:rFonts w:ascii="Arial" w:hAnsi="Arial" w:cs="Arial"/>
          <w:sz w:val="16"/>
          <w:szCs w:val="16"/>
        </w:rPr>
        <w:t xml:space="preserve"> Elaboració pròpia a partir d’</w:t>
      </w:r>
      <w:r w:rsidRPr="00A83FB2">
        <w:rPr>
          <w:rFonts w:ascii="Arial" w:hAnsi="Arial" w:cs="Arial"/>
          <w:sz w:val="16"/>
          <w:szCs w:val="16"/>
        </w:rPr>
        <w:t>Idescat</w:t>
      </w:r>
      <w:r>
        <w:rPr>
          <w:rFonts w:ascii="Arial" w:hAnsi="Arial" w:cs="Arial"/>
          <w:sz w:val="16"/>
          <w:szCs w:val="16"/>
        </w:rPr>
        <w:t>: ECV base 2013 i ECV base 2004.</w:t>
      </w:r>
    </w:p>
    <w:p w:rsidR="00AF6714" w:rsidRPr="00AA2BE1" w:rsidRDefault="00AF6714" w:rsidP="00516FBB">
      <w:pPr>
        <w:jc w:val="both"/>
        <w:rPr>
          <w:rFonts w:ascii="Arial" w:hAnsi="Arial" w:cs="Arial"/>
        </w:rPr>
      </w:pPr>
    </w:p>
    <w:p w:rsidR="0073279C" w:rsidRDefault="0073279C" w:rsidP="004A0C97">
      <w:pPr>
        <w:spacing w:after="0"/>
        <w:rPr>
          <w:rFonts w:ascii="Arial" w:hAnsi="Arial" w:cs="Arial"/>
          <w:b/>
          <w:sz w:val="20"/>
          <w:szCs w:val="20"/>
        </w:rPr>
      </w:pPr>
      <w:r w:rsidRPr="00594555">
        <w:rPr>
          <w:rFonts w:ascii="Arial" w:hAnsi="Arial" w:cs="Arial"/>
          <w:b/>
          <w:sz w:val="20"/>
          <w:szCs w:val="20"/>
        </w:rPr>
        <w:lastRenderedPageBreak/>
        <w:t>Evolució del llindar de pobresa, de la taxa del risc de pobresa, i de la taxa de risc de pobresa o exclusió social (taxa AROPE)</w:t>
      </w:r>
      <w:r w:rsidRPr="00594555">
        <w:rPr>
          <w:rStyle w:val="Refdenotaalpie"/>
          <w:rFonts w:ascii="Arial" w:hAnsi="Arial" w:cs="Arial"/>
          <w:b/>
          <w:sz w:val="20"/>
          <w:szCs w:val="20"/>
        </w:rPr>
        <w:footnoteReference w:id="11"/>
      </w:r>
      <w:r w:rsidRPr="00594555">
        <w:rPr>
          <w:rFonts w:ascii="Arial" w:hAnsi="Arial" w:cs="Arial"/>
          <w:b/>
          <w:sz w:val="20"/>
          <w:szCs w:val="20"/>
        </w:rPr>
        <w:t>. Catalunya</w:t>
      </w:r>
      <w:r w:rsidR="004A0C97">
        <w:rPr>
          <w:rFonts w:ascii="Arial" w:hAnsi="Arial" w:cs="Arial"/>
          <w:b/>
          <w:sz w:val="20"/>
          <w:szCs w:val="20"/>
        </w:rPr>
        <w:t>,</w:t>
      </w:r>
      <w:r w:rsidRPr="00594555">
        <w:rPr>
          <w:rFonts w:ascii="Arial" w:hAnsi="Arial" w:cs="Arial"/>
          <w:b/>
          <w:sz w:val="20"/>
          <w:szCs w:val="20"/>
        </w:rPr>
        <w:t xml:space="preserve"> 200</w:t>
      </w:r>
      <w:r w:rsidR="00516FBB">
        <w:rPr>
          <w:rFonts w:ascii="Arial" w:hAnsi="Arial" w:cs="Arial"/>
          <w:b/>
          <w:sz w:val="20"/>
          <w:szCs w:val="20"/>
        </w:rPr>
        <w:t>4</w:t>
      </w:r>
      <w:r w:rsidRPr="00594555">
        <w:rPr>
          <w:rFonts w:ascii="Arial" w:hAnsi="Arial" w:cs="Arial"/>
          <w:b/>
          <w:sz w:val="20"/>
          <w:szCs w:val="20"/>
        </w:rPr>
        <w:t>-201</w:t>
      </w:r>
      <w:r w:rsidR="00DE552F">
        <w:rPr>
          <w:rFonts w:ascii="Arial" w:hAnsi="Arial" w:cs="Arial"/>
          <w:b/>
          <w:sz w:val="20"/>
          <w:szCs w:val="20"/>
        </w:rPr>
        <w:t>4</w:t>
      </w:r>
    </w:p>
    <w:p w:rsidR="0073279C" w:rsidRPr="004A0C97" w:rsidRDefault="00516FBB" w:rsidP="0073279C">
      <w:pPr>
        <w:spacing w:after="0"/>
        <w:jc w:val="center"/>
        <w:rPr>
          <w:rFonts w:ascii="Arial" w:hAnsi="Arial" w:cs="Arial"/>
          <w:sz w:val="16"/>
          <w:szCs w:val="16"/>
        </w:rPr>
      </w:pPr>
      <w:r w:rsidRPr="00516FBB">
        <w:rPr>
          <w:noProof/>
          <w:szCs w:val="16"/>
          <w:lang w:eastAsia="ca-ES"/>
        </w:rPr>
        <w:drawing>
          <wp:inline distT="0" distB="0" distL="0" distR="0">
            <wp:extent cx="5400040" cy="2883228"/>
            <wp:effectExtent l="19050" t="0" r="0" b="0"/>
            <wp:docPr id="8"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5400040" cy="2883228"/>
                    </a:xfrm>
                    <a:prstGeom prst="rect">
                      <a:avLst/>
                    </a:prstGeom>
                    <a:noFill/>
                    <a:ln w="9525">
                      <a:noFill/>
                      <a:miter lim="800000"/>
                      <a:headEnd/>
                      <a:tailEnd/>
                    </a:ln>
                  </pic:spPr>
                </pic:pic>
              </a:graphicData>
            </a:graphic>
          </wp:inline>
        </w:drawing>
      </w:r>
    </w:p>
    <w:p w:rsidR="004354D1" w:rsidRDefault="004354D1" w:rsidP="004354D1">
      <w:pPr>
        <w:spacing w:after="0"/>
        <w:jc w:val="both"/>
        <w:rPr>
          <w:rFonts w:ascii="Arial" w:hAnsi="Arial" w:cs="Arial"/>
          <w:sz w:val="16"/>
          <w:szCs w:val="16"/>
        </w:rPr>
      </w:pPr>
      <w:r w:rsidRPr="004A0C97">
        <w:rPr>
          <w:rFonts w:ascii="Arial" w:hAnsi="Arial" w:cs="Arial"/>
          <w:sz w:val="16"/>
          <w:szCs w:val="16"/>
        </w:rPr>
        <w:t>Nota: el</w:t>
      </w:r>
      <w:r w:rsidR="00956331" w:rsidRPr="004A0C97">
        <w:rPr>
          <w:rFonts w:ascii="Arial" w:hAnsi="Arial" w:cs="Arial"/>
          <w:sz w:val="16"/>
          <w:szCs w:val="16"/>
        </w:rPr>
        <w:t>s</w:t>
      </w:r>
      <w:r w:rsidRPr="004A0C97">
        <w:rPr>
          <w:rFonts w:ascii="Arial" w:hAnsi="Arial" w:cs="Arial"/>
          <w:sz w:val="16"/>
          <w:szCs w:val="16"/>
        </w:rPr>
        <w:t xml:space="preserve"> valor</w:t>
      </w:r>
      <w:r w:rsidR="00956331" w:rsidRPr="004A0C97">
        <w:rPr>
          <w:rFonts w:ascii="Arial" w:hAnsi="Arial" w:cs="Arial"/>
          <w:sz w:val="16"/>
          <w:szCs w:val="16"/>
        </w:rPr>
        <w:t>s</w:t>
      </w:r>
      <w:r w:rsidRPr="004A0C97">
        <w:rPr>
          <w:rFonts w:ascii="Arial" w:hAnsi="Arial" w:cs="Arial"/>
          <w:sz w:val="16"/>
          <w:szCs w:val="16"/>
        </w:rPr>
        <w:t xml:space="preserve"> del</w:t>
      </w:r>
      <w:r w:rsidR="00956331" w:rsidRPr="004A0C97">
        <w:rPr>
          <w:rFonts w:ascii="Arial" w:hAnsi="Arial" w:cs="Arial"/>
          <w:sz w:val="16"/>
          <w:szCs w:val="16"/>
        </w:rPr>
        <w:t>s</w:t>
      </w:r>
      <w:r w:rsidR="00C149A6">
        <w:rPr>
          <w:rFonts w:ascii="Arial" w:hAnsi="Arial" w:cs="Arial"/>
          <w:sz w:val="16"/>
          <w:szCs w:val="16"/>
        </w:rPr>
        <w:t xml:space="preserve"> </w:t>
      </w:r>
      <w:r w:rsidR="00956331" w:rsidRPr="004A0C97">
        <w:rPr>
          <w:rFonts w:ascii="Arial" w:hAnsi="Arial" w:cs="Arial"/>
          <w:sz w:val="16"/>
          <w:szCs w:val="16"/>
        </w:rPr>
        <w:t xml:space="preserve">anys </w:t>
      </w:r>
      <w:r w:rsidRPr="004A0C97">
        <w:rPr>
          <w:rFonts w:ascii="Arial" w:hAnsi="Arial" w:cs="Arial"/>
          <w:sz w:val="16"/>
          <w:szCs w:val="16"/>
        </w:rPr>
        <w:t>200</w:t>
      </w:r>
      <w:r w:rsidR="00516FBB">
        <w:rPr>
          <w:rFonts w:ascii="Arial" w:hAnsi="Arial" w:cs="Arial"/>
          <w:sz w:val="16"/>
          <w:szCs w:val="16"/>
        </w:rPr>
        <w:t>4-</w:t>
      </w:r>
      <w:r w:rsidR="00956331" w:rsidRPr="004A0C97">
        <w:rPr>
          <w:rFonts w:ascii="Arial" w:hAnsi="Arial" w:cs="Arial"/>
          <w:sz w:val="16"/>
          <w:szCs w:val="16"/>
        </w:rPr>
        <w:t xml:space="preserve"> 2008</w:t>
      </w:r>
      <w:r w:rsidRPr="004A0C97">
        <w:rPr>
          <w:rFonts w:ascii="Arial" w:hAnsi="Arial" w:cs="Arial"/>
          <w:sz w:val="16"/>
          <w:szCs w:val="16"/>
        </w:rPr>
        <w:t xml:space="preserve"> s’obt</w:t>
      </w:r>
      <w:r w:rsidR="00956331" w:rsidRPr="004A0C97">
        <w:rPr>
          <w:rFonts w:ascii="Arial" w:hAnsi="Arial" w:cs="Arial"/>
          <w:sz w:val="16"/>
          <w:szCs w:val="16"/>
        </w:rPr>
        <w:t>enen</w:t>
      </w:r>
      <w:r w:rsidRPr="004A0C97">
        <w:rPr>
          <w:rFonts w:ascii="Arial" w:hAnsi="Arial" w:cs="Arial"/>
          <w:sz w:val="16"/>
          <w:szCs w:val="16"/>
        </w:rPr>
        <w:t xml:space="preserve"> aplicant al</w:t>
      </w:r>
      <w:r w:rsidR="00956331" w:rsidRPr="004A0C97">
        <w:rPr>
          <w:rFonts w:ascii="Arial" w:hAnsi="Arial" w:cs="Arial"/>
          <w:sz w:val="16"/>
          <w:szCs w:val="16"/>
        </w:rPr>
        <w:t>s</w:t>
      </w:r>
      <w:r w:rsidRPr="004A0C97">
        <w:rPr>
          <w:rFonts w:ascii="Arial" w:hAnsi="Arial" w:cs="Arial"/>
          <w:sz w:val="16"/>
          <w:szCs w:val="16"/>
        </w:rPr>
        <w:t xml:space="preserve"> valor</w:t>
      </w:r>
      <w:r w:rsidR="00956331" w:rsidRPr="004A0C97">
        <w:rPr>
          <w:rFonts w:ascii="Arial" w:hAnsi="Arial" w:cs="Arial"/>
          <w:sz w:val="16"/>
          <w:szCs w:val="16"/>
        </w:rPr>
        <w:t>s</w:t>
      </w:r>
      <w:r w:rsidRPr="004A0C97">
        <w:rPr>
          <w:rFonts w:ascii="Arial" w:hAnsi="Arial" w:cs="Arial"/>
          <w:sz w:val="16"/>
          <w:szCs w:val="16"/>
        </w:rPr>
        <w:t xml:space="preserve"> del 2009 les taxes de creixement del</w:t>
      </w:r>
      <w:r w:rsidR="00956331" w:rsidRPr="004A0C97">
        <w:rPr>
          <w:rFonts w:ascii="Arial" w:hAnsi="Arial" w:cs="Arial"/>
          <w:sz w:val="16"/>
          <w:szCs w:val="16"/>
        </w:rPr>
        <w:t>s valors de les</w:t>
      </w:r>
      <w:r w:rsidR="00956331">
        <w:rPr>
          <w:rFonts w:ascii="Arial" w:hAnsi="Arial" w:cs="Arial"/>
          <w:sz w:val="16"/>
          <w:szCs w:val="16"/>
        </w:rPr>
        <w:t xml:space="preserve"> mateixes variables </w:t>
      </w:r>
      <w:r>
        <w:rPr>
          <w:rFonts w:ascii="Arial" w:hAnsi="Arial" w:cs="Arial"/>
          <w:sz w:val="16"/>
          <w:szCs w:val="16"/>
        </w:rPr>
        <w:t>de l’ECV en base 2004</w:t>
      </w:r>
    </w:p>
    <w:p w:rsidR="0073279C" w:rsidRDefault="004354D1" w:rsidP="0039529B">
      <w:pPr>
        <w:jc w:val="both"/>
        <w:rPr>
          <w:rFonts w:ascii="Arial" w:hAnsi="Arial" w:cs="Arial"/>
          <w:sz w:val="16"/>
          <w:szCs w:val="16"/>
        </w:rPr>
      </w:pPr>
      <w:r w:rsidRPr="00A83FB2">
        <w:rPr>
          <w:rFonts w:ascii="Arial" w:hAnsi="Arial" w:cs="Arial"/>
          <w:sz w:val="16"/>
          <w:szCs w:val="16"/>
        </w:rPr>
        <w:t>Font:</w:t>
      </w:r>
      <w:r w:rsidR="00516FBB">
        <w:rPr>
          <w:rFonts w:ascii="Arial" w:hAnsi="Arial" w:cs="Arial"/>
          <w:sz w:val="16"/>
          <w:szCs w:val="16"/>
        </w:rPr>
        <w:t xml:space="preserve"> Elaboració pròpia a partir d’</w:t>
      </w:r>
      <w:r w:rsidRPr="00A83FB2">
        <w:rPr>
          <w:rFonts w:ascii="Arial" w:hAnsi="Arial" w:cs="Arial"/>
          <w:sz w:val="16"/>
          <w:szCs w:val="16"/>
        </w:rPr>
        <w:t>Idescat</w:t>
      </w:r>
      <w:r w:rsidR="00516FBB">
        <w:rPr>
          <w:rFonts w:ascii="Arial" w:hAnsi="Arial" w:cs="Arial"/>
          <w:sz w:val="16"/>
          <w:szCs w:val="16"/>
        </w:rPr>
        <w:t>:</w:t>
      </w:r>
      <w:r>
        <w:rPr>
          <w:rFonts w:ascii="Arial" w:hAnsi="Arial" w:cs="Arial"/>
          <w:sz w:val="16"/>
          <w:szCs w:val="16"/>
        </w:rPr>
        <w:t xml:space="preserve"> ECV base 2013</w:t>
      </w:r>
      <w:r w:rsidR="00516FBB">
        <w:rPr>
          <w:rFonts w:ascii="Arial" w:hAnsi="Arial" w:cs="Arial"/>
          <w:sz w:val="16"/>
          <w:szCs w:val="16"/>
        </w:rPr>
        <w:t xml:space="preserve"> i ECV base 2004</w:t>
      </w:r>
      <w:r>
        <w:rPr>
          <w:rFonts w:ascii="Arial" w:hAnsi="Arial" w:cs="Arial"/>
          <w:sz w:val="16"/>
          <w:szCs w:val="16"/>
        </w:rPr>
        <w:t>.</w:t>
      </w:r>
    </w:p>
    <w:p w:rsidR="00AD69D5" w:rsidRDefault="00AD69D5" w:rsidP="0039529B">
      <w:pPr>
        <w:jc w:val="both"/>
        <w:rPr>
          <w:rFonts w:ascii="Arial" w:hAnsi="Arial" w:cs="Arial"/>
          <w:b/>
          <w:sz w:val="24"/>
          <w:szCs w:val="24"/>
        </w:rPr>
      </w:pPr>
    </w:p>
    <w:p w:rsidR="00AD69D5" w:rsidRDefault="00AD69D5" w:rsidP="00AD69D5">
      <w:pPr>
        <w:rPr>
          <w:rFonts w:ascii="Arial" w:hAnsi="Arial" w:cs="Arial"/>
          <w:sz w:val="16"/>
          <w:szCs w:val="16"/>
        </w:rPr>
      </w:pPr>
      <w:r w:rsidRPr="00AD69D5">
        <w:rPr>
          <w:rFonts w:ascii="Arial" w:hAnsi="Arial" w:cs="Arial"/>
          <w:b/>
          <w:sz w:val="20"/>
          <w:szCs w:val="20"/>
        </w:rPr>
        <w:t xml:space="preserve">Evolució de la taxa del risc de pobresa per </w:t>
      </w:r>
      <w:r>
        <w:rPr>
          <w:rFonts w:ascii="Arial" w:hAnsi="Arial" w:cs="Arial"/>
          <w:b/>
          <w:sz w:val="20"/>
          <w:szCs w:val="20"/>
        </w:rPr>
        <w:t>sexe</w:t>
      </w:r>
      <w:r w:rsidRPr="00AD69D5">
        <w:rPr>
          <w:rFonts w:ascii="Arial" w:hAnsi="Arial" w:cs="Arial"/>
          <w:b/>
          <w:sz w:val="20"/>
          <w:szCs w:val="20"/>
        </w:rPr>
        <w:t>. Catalunya, 2009-2014</w:t>
      </w:r>
      <w:r w:rsidRPr="00AD69D5">
        <w:rPr>
          <w:noProof/>
          <w:szCs w:val="24"/>
          <w:lang w:eastAsia="ca-ES"/>
        </w:rPr>
        <w:drawing>
          <wp:inline distT="0" distB="0" distL="0" distR="0">
            <wp:extent cx="5400040" cy="2883228"/>
            <wp:effectExtent l="19050" t="0" r="0" b="0"/>
            <wp:docPr id="23"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5400040" cy="2883228"/>
                    </a:xfrm>
                    <a:prstGeom prst="rect">
                      <a:avLst/>
                    </a:prstGeom>
                    <a:noFill/>
                    <a:ln w="9525">
                      <a:noFill/>
                      <a:miter lim="800000"/>
                      <a:headEnd/>
                      <a:tailEnd/>
                    </a:ln>
                  </pic:spPr>
                </pic:pic>
              </a:graphicData>
            </a:graphic>
          </wp:inline>
        </w:drawing>
      </w:r>
      <w:r w:rsidRPr="00A83FB2">
        <w:rPr>
          <w:rFonts w:ascii="Arial" w:hAnsi="Arial" w:cs="Arial"/>
          <w:sz w:val="16"/>
          <w:szCs w:val="16"/>
        </w:rPr>
        <w:t>Font:</w:t>
      </w:r>
      <w:r>
        <w:rPr>
          <w:rFonts w:ascii="Arial" w:hAnsi="Arial" w:cs="Arial"/>
          <w:sz w:val="16"/>
          <w:szCs w:val="16"/>
        </w:rPr>
        <w:t xml:space="preserve"> </w:t>
      </w:r>
      <w:r w:rsidRPr="00A83FB2">
        <w:rPr>
          <w:rFonts w:ascii="Arial" w:hAnsi="Arial" w:cs="Arial"/>
          <w:sz w:val="16"/>
          <w:szCs w:val="16"/>
        </w:rPr>
        <w:t>Idescat</w:t>
      </w:r>
      <w:r>
        <w:rPr>
          <w:rFonts w:ascii="Arial" w:hAnsi="Arial" w:cs="Arial"/>
          <w:sz w:val="16"/>
          <w:szCs w:val="16"/>
        </w:rPr>
        <w:t xml:space="preserve"> a partir de l’ECV base 2013.</w:t>
      </w:r>
    </w:p>
    <w:p w:rsidR="00593AD1" w:rsidRDefault="00593AD1">
      <w:pPr>
        <w:spacing w:after="0" w:line="240" w:lineRule="auto"/>
        <w:rPr>
          <w:rFonts w:ascii="Arial" w:hAnsi="Arial" w:cs="Arial"/>
          <w:b/>
          <w:sz w:val="24"/>
          <w:szCs w:val="24"/>
        </w:rPr>
      </w:pPr>
      <w:r>
        <w:rPr>
          <w:rFonts w:ascii="Arial" w:hAnsi="Arial" w:cs="Arial"/>
          <w:b/>
          <w:sz w:val="24"/>
          <w:szCs w:val="24"/>
        </w:rPr>
        <w:br w:type="page"/>
      </w:r>
    </w:p>
    <w:p w:rsidR="00D22D1C" w:rsidRDefault="00D22D1C" w:rsidP="00AD69D5">
      <w:pPr>
        <w:rPr>
          <w:rFonts w:ascii="Arial" w:hAnsi="Arial" w:cs="Arial"/>
          <w:b/>
          <w:sz w:val="24"/>
          <w:szCs w:val="24"/>
        </w:rPr>
      </w:pPr>
    </w:p>
    <w:p w:rsidR="00AD69D5" w:rsidRPr="00AD69D5" w:rsidRDefault="00AD69D5" w:rsidP="0039529B">
      <w:pPr>
        <w:spacing w:after="0"/>
        <w:rPr>
          <w:rFonts w:ascii="Arial" w:hAnsi="Arial" w:cs="Arial"/>
          <w:b/>
          <w:sz w:val="20"/>
          <w:szCs w:val="20"/>
        </w:rPr>
      </w:pPr>
      <w:r w:rsidRPr="00AD69D5">
        <w:rPr>
          <w:rFonts w:ascii="Arial" w:hAnsi="Arial" w:cs="Arial"/>
          <w:b/>
          <w:sz w:val="20"/>
          <w:szCs w:val="20"/>
        </w:rPr>
        <w:t>Taxa del risc de pobresa per sexe</w:t>
      </w:r>
      <w:r>
        <w:rPr>
          <w:rFonts w:ascii="Arial" w:hAnsi="Arial" w:cs="Arial"/>
          <w:b/>
          <w:sz w:val="20"/>
          <w:szCs w:val="20"/>
        </w:rPr>
        <w:t>. Catalunya, Espanya i UE, 2014</w:t>
      </w:r>
    </w:p>
    <w:tbl>
      <w:tblPr>
        <w:tblStyle w:val="Sombreadoclaro-nfasis11"/>
        <w:tblW w:w="5000" w:type="pct"/>
        <w:tblLook w:val="04A0" w:firstRow="1" w:lastRow="0" w:firstColumn="1" w:lastColumn="0" w:noHBand="0" w:noVBand="1"/>
      </w:tblPr>
      <w:tblGrid>
        <w:gridCol w:w="1906"/>
        <w:gridCol w:w="2086"/>
        <w:gridCol w:w="2466"/>
        <w:gridCol w:w="2262"/>
      </w:tblGrid>
      <w:tr w:rsidR="00AD69D5" w:rsidRPr="00BF39D9" w:rsidTr="003952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3" w:type="pct"/>
            <w:noWrap/>
            <w:hideMark/>
          </w:tcPr>
          <w:p w:rsidR="00AD69D5" w:rsidRPr="00BF39D9" w:rsidRDefault="00AD69D5" w:rsidP="00AD69D5">
            <w:pPr>
              <w:spacing w:after="0" w:line="240" w:lineRule="auto"/>
              <w:rPr>
                <w:rFonts w:eastAsia="Times New Roman"/>
                <w:color w:val="auto"/>
                <w:lang w:eastAsia="ca-ES"/>
              </w:rPr>
            </w:pPr>
          </w:p>
        </w:tc>
        <w:tc>
          <w:tcPr>
            <w:tcW w:w="1196" w:type="pct"/>
            <w:noWrap/>
            <w:vAlign w:val="center"/>
            <w:hideMark/>
          </w:tcPr>
          <w:p w:rsidR="00AD69D5" w:rsidRPr="00BF39D9" w:rsidRDefault="00AD69D5" w:rsidP="003952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Homes</w:t>
            </w:r>
          </w:p>
        </w:tc>
        <w:tc>
          <w:tcPr>
            <w:tcW w:w="1414" w:type="pct"/>
            <w:noWrap/>
            <w:vAlign w:val="center"/>
            <w:hideMark/>
          </w:tcPr>
          <w:p w:rsidR="00AD69D5" w:rsidRPr="00BF39D9" w:rsidRDefault="00AD69D5" w:rsidP="003952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Dones</w:t>
            </w:r>
          </w:p>
        </w:tc>
        <w:tc>
          <w:tcPr>
            <w:tcW w:w="1297" w:type="pct"/>
            <w:noWrap/>
            <w:vAlign w:val="center"/>
            <w:hideMark/>
          </w:tcPr>
          <w:p w:rsidR="00AD69D5" w:rsidRPr="00BF39D9" w:rsidRDefault="00AD69D5" w:rsidP="003952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Total</w:t>
            </w:r>
          </w:p>
        </w:tc>
      </w:tr>
      <w:tr w:rsidR="00AD69D5"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3" w:type="pct"/>
            <w:noWrap/>
            <w:vAlign w:val="center"/>
            <w:hideMark/>
          </w:tcPr>
          <w:p w:rsidR="00AD69D5" w:rsidRPr="00BF39D9" w:rsidRDefault="00AD69D5" w:rsidP="0039529B">
            <w:pPr>
              <w:spacing w:after="0" w:line="240" w:lineRule="auto"/>
              <w:rPr>
                <w:rFonts w:eastAsia="Times New Roman"/>
                <w:color w:val="auto"/>
                <w:lang w:eastAsia="ca-ES"/>
              </w:rPr>
            </w:pPr>
            <w:r w:rsidRPr="00BF39D9">
              <w:rPr>
                <w:rFonts w:eastAsia="Times New Roman"/>
                <w:color w:val="auto"/>
                <w:lang w:eastAsia="ca-ES"/>
              </w:rPr>
              <w:t>Catalunya</w:t>
            </w:r>
          </w:p>
        </w:tc>
        <w:tc>
          <w:tcPr>
            <w:tcW w:w="1196" w:type="pct"/>
            <w:noWrap/>
            <w:vAlign w:val="center"/>
            <w:hideMark/>
          </w:tcPr>
          <w:p w:rsidR="00AD69D5" w:rsidRPr="00BF39D9" w:rsidRDefault="00AD69D5"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20,2</w:t>
            </w:r>
          </w:p>
        </w:tc>
        <w:tc>
          <w:tcPr>
            <w:tcW w:w="1414" w:type="pct"/>
            <w:noWrap/>
            <w:vAlign w:val="center"/>
            <w:hideMark/>
          </w:tcPr>
          <w:p w:rsidR="00AD69D5" w:rsidRPr="00BF39D9" w:rsidRDefault="00AD69D5"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21,6</w:t>
            </w:r>
          </w:p>
        </w:tc>
        <w:tc>
          <w:tcPr>
            <w:tcW w:w="1297" w:type="pct"/>
            <w:noWrap/>
            <w:vAlign w:val="center"/>
            <w:hideMark/>
          </w:tcPr>
          <w:p w:rsidR="00AD69D5" w:rsidRPr="00BF39D9" w:rsidRDefault="00AD69D5"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20,9</w:t>
            </w:r>
          </w:p>
        </w:tc>
      </w:tr>
      <w:tr w:rsidR="00AD69D5" w:rsidRPr="00BF39D9" w:rsidTr="0039529B">
        <w:trPr>
          <w:trHeight w:val="300"/>
        </w:trPr>
        <w:tc>
          <w:tcPr>
            <w:cnfStyle w:val="001000000000" w:firstRow="0" w:lastRow="0" w:firstColumn="1" w:lastColumn="0" w:oddVBand="0" w:evenVBand="0" w:oddHBand="0" w:evenHBand="0" w:firstRowFirstColumn="0" w:firstRowLastColumn="0" w:lastRowFirstColumn="0" w:lastRowLastColumn="0"/>
            <w:tcW w:w="1093" w:type="pct"/>
            <w:noWrap/>
            <w:vAlign w:val="center"/>
            <w:hideMark/>
          </w:tcPr>
          <w:p w:rsidR="00AD69D5" w:rsidRPr="00BF39D9" w:rsidRDefault="00AD69D5" w:rsidP="0039529B">
            <w:pPr>
              <w:spacing w:after="0" w:line="240" w:lineRule="auto"/>
              <w:rPr>
                <w:rFonts w:eastAsia="Times New Roman"/>
                <w:color w:val="auto"/>
                <w:lang w:eastAsia="ca-ES"/>
              </w:rPr>
            </w:pPr>
            <w:r w:rsidRPr="00BF39D9">
              <w:rPr>
                <w:rFonts w:eastAsia="Times New Roman"/>
                <w:color w:val="auto"/>
                <w:lang w:eastAsia="ca-ES"/>
              </w:rPr>
              <w:t>Espanya</w:t>
            </w:r>
          </w:p>
        </w:tc>
        <w:tc>
          <w:tcPr>
            <w:tcW w:w="1196" w:type="pct"/>
            <w:noWrap/>
            <w:vAlign w:val="center"/>
            <w:hideMark/>
          </w:tcPr>
          <w:p w:rsidR="00AD69D5" w:rsidRPr="00BF39D9" w:rsidRDefault="00AD69D5" w:rsidP="003952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31,3</w:t>
            </w:r>
          </w:p>
        </w:tc>
        <w:tc>
          <w:tcPr>
            <w:tcW w:w="1414" w:type="pct"/>
            <w:noWrap/>
            <w:vAlign w:val="center"/>
            <w:hideMark/>
          </w:tcPr>
          <w:p w:rsidR="00AD69D5" w:rsidRPr="00BF39D9" w:rsidRDefault="00AD69D5" w:rsidP="003952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30,8</w:t>
            </w:r>
          </w:p>
        </w:tc>
        <w:tc>
          <w:tcPr>
            <w:tcW w:w="1297" w:type="pct"/>
            <w:noWrap/>
            <w:vAlign w:val="center"/>
            <w:hideMark/>
          </w:tcPr>
          <w:p w:rsidR="00AD69D5" w:rsidRPr="00BF39D9" w:rsidRDefault="00AD69D5" w:rsidP="003952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31,1</w:t>
            </w:r>
          </w:p>
        </w:tc>
      </w:tr>
      <w:tr w:rsidR="00AD69D5" w:rsidRPr="00BF39D9" w:rsidTr="00395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3" w:type="pct"/>
            <w:noWrap/>
            <w:vAlign w:val="center"/>
            <w:hideMark/>
          </w:tcPr>
          <w:p w:rsidR="00AD69D5" w:rsidRPr="00BF39D9" w:rsidRDefault="00AD69D5" w:rsidP="0039529B">
            <w:pPr>
              <w:spacing w:after="0" w:line="240" w:lineRule="auto"/>
              <w:rPr>
                <w:rFonts w:eastAsia="Times New Roman"/>
                <w:color w:val="auto"/>
                <w:lang w:eastAsia="ca-ES"/>
              </w:rPr>
            </w:pPr>
            <w:r w:rsidRPr="00BF39D9">
              <w:rPr>
                <w:rFonts w:eastAsia="Times New Roman"/>
                <w:color w:val="auto"/>
                <w:lang w:eastAsia="ca-ES"/>
              </w:rPr>
              <w:t>Unió Europea</w:t>
            </w:r>
          </w:p>
        </w:tc>
        <w:tc>
          <w:tcPr>
            <w:tcW w:w="1196" w:type="pct"/>
            <w:noWrap/>
            <w:vAlign w:val="center"/>
            <w:hideMark/>
          </w:tcPr>
          <w:p w:rsidR="00AD69D5" w:rsidRPr="00BF39D9" w:rsidRDefault="00AD69D5"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16,1</w:t>
            </w:r>
          </w:p>
        </w:tc>
        <w:tc>
          <w:tcPr>
            <w:tcW w:w="1414" w:type="pct"/>
            <w:noWrap/>
            <w:vAlign w:val="center"/>
            <w:hideMark/>
          </w:tcPr>
          <w:p w:rsidR="00AD69D5" w:rsidRPr="00BF39D9" w:rsidRDefault="00AD69D5"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17,2</w:t>
            </w:r>
          </w:p>
        </w:tc>
        <w:tc>
          <w:tcPr>
            <w:tcW w:w="1297" w:type="pct"/>
            <w:noWrap/>
            <w:vAlign w:val="center"/>
            <w:hideMark/>
          </w:tcPr>
          <w:p w:rsidR="00AD69D5" w:rsidRPr="00BF39D9" w:rsidRDefault="00AD69D5"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BF39D9">
              <w:rPr>
                <w:rFonts w:eastAsia="Times New Roman"/>
                <w:color w:val="auto"/>
                <w:lang w:eastAsia="ca-ES"/>
              </w:rPr>
              <w:t>16,7</w:t>
            </w:r>
          </w:p>
        </w:tc>
      </w:tr>
    </w:tbl>
    <w:p w:rsidR="00AD69D5" w:rsidRDefault="00AD69D5" w:rsidP="00A25B14">
      <w:pPr>
        <w:spacing w:line="360" w:lineRule="auto"/>
        <w:rPr>
          <w:rFonts w:ascii="Arial" w:hAnsi="Arial" w:cs="Arial"/>
          <w:sz w:val="16"/>
          <w:szCs w:val="16"/>
        </w:rPr>
      </w:pPr>
      <w:r w:rsidRPr="00A83FB2">
        <w:rPr>
          <w:rFonts w:ascii="Arial" w:hAnsi="Arial" w:cs="Arial"/>
          <w:sz w:val="16"/>
          <w:szCs w:val="16"/>
        </w:rPr>
        <w:t>Font:</w:t>
      </w:r>
      <w:r>
        <w:rPr>
          <w:rFonts w:ascii="Arial" w:hAnsi="Arial" w:cs="Arial"/>
          <w:sz w:val="16"/>
          <w:szCs w:val="16"/>
        </w:rPr>
        <w:t xml:space="preserve"> </w:t>
      </w:r>
      <w:r w:rsidRPr="00A83FB2">
        <w:rPr>
          <w:rFonts w:ascii="Arial" w:hAnsi="Arial" w:cs="Arial"/>
          <w:sz w:val="16"/>
          <w:szCs w:val="16"/>
        </w:rPr>
        <w:t>Idescat</w:t>
      </w:r>
      <w:r>
        <w:rPr>
          <w:rFonts w:ascii="Arial" w:hAnsi="Arial" w:cs="Arial"/>
          <w:sz w:val="16"/>
          <w:szCs w:val="16"/>
        </w:rPr>
        <w:t>.</w:t>
      </w:r>
    </w:p>
    <w:p w:rsidR="005C63C2" w:rsidRDefault="005C63C2" w:rsidP="00A25B14">
      <w:pPr>
        <w:spacing w:line="360" w:lineRule="auto"/>
        <w:rPr>
          <w:rFonts w:ascii="Arial" w:hAnsi="Arial" w:cs="Arial"/>
        </w:rPr>
      </w:pPr>
    </w:p>
    <w:p w:rsidR="00422AC0" w:rsidRDefault="00422AC0" w:rsidP="00422AC0">
      <w:pPr>
        <w:spacing w:after="0"/>
        <w:rPr>
          <w:rFonts w:ascii="Arial" w:hAnsi="Arial" w:cs="Arial"/>
          <w:b/>
          <w:sz w:val="20"/>
          <w:szCs w:val="20"/>
        </w:rPr>
      </w:pPr>
      <w:r w:rsidRPr="00AD69D5">
        <w:rPr>
          <w:rFonts w:ascii="Arial" w:hAnsi="Arial" w:cs="Arial"/>
          <w:b/>
          <w:sz w:val="20"/>
          <w:szCs w:val="20"/>
        </w:rPr>
        <w:t xml:space="preserve">Taxa del risc de </w:t>
      </w:r>
      <w:r>
        <w:rPr>
          <w:rFonts w:ascii="Arial" w:hAnsi="Arial" w:cs="Arial"/>
          <w:b/>
          <w:sz w:val="20"/>
          <w:szCs w:val="20"/>
        </w:rPr>
        <w:t>pobresa per edats a Catalunya</w:t>
      </w:r>
      <w:r w:rsidR="00C149A6">
        <w:rPr>
          <w:rFonts w:ascii="Arial" w:hAnsi="Arial" w:cs="Arial"/>
          <w:b/>
          <w:sz w:val="20"/>
          <w:szCs w:val="20"/>
        </w:rPr>
        <w:t>. A</w:t>
      </w:r>
      <w:r>
        <w:rPr>
          <w:rFonts w:ascii="Arial" w:hAnsi="Arial" w:cs="Arial"/>
          <w:b/>
          <w:sz w:val="20"/>
          <w:szCs w:val="20"/>
        </w:rPr>
        <w:t>ny 2014</w:t>
      </w:r>
    </w:p>
    <w:p w:rsidR="00422AC0" w:rsidRDefault="00422AC0" w:rsidP="00422AC0">
      <w:pPr>
        <w:spacing w:after="0" w:line="240" w:lineRule="auto"/>
      </w:pPr>
      <w:r w:rsidRPr="0040284F">
        <w:rPr>
          <w:noProof/>
          <w:lang w:eastAsia="ca-ES"/>
        </w:rPr>
        <w:drawing>
          <wp:inline distT="0" distB="0" distL="0" distR="0">
            <wp:extent cx="4657725" cy="2743200"/>
            <wp:effectExtent l="19050" t="0" r="9525"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422AC0" w:rsidRPr="00F15CDC" w:rsidRDefault="00422AC0" w:rsidP="00422AC0">
      <w:pPr>
        <w:spacing w:line="360" w:lineRule="auto"/>
        <w:rPr>
          <w:rFonts w:ascii="Arial" w:hAnsi="Arial" w:cs="Arial"/>
          <w:sz w:val="16"/>
          <w:szCs w:val="16"/>
        </w:rPr>
      </w:pPr>
      <w:r w:rsidRPr="00A83FB2">
        <w:rPr>
          <w:rFonts w:ascii="Arial" w:hAnsi="Arial" w:cs="Arial"/>
          <w:sz w:val="16"/>
          <w:szCs w:val="16"/>
        </w:rPr>
        <w:t>Font:</w:t>
      </w:r>
      <w:r>
        <w:rPr>
          <w:rFonts w:ascii="Arial" w:hAnsi="Arial" w:cs="Arial"/>
          <w:sz w:val="16"/>
          <w:szCs w:val="16"/>
        </w:rPr>
        <w:t xml:space="preserve"> </w:t>
      </w:r>
      <w:r w:rsidRPr="00A83FB2">
        <w:rPr>
          <w:rFonts w:ascii="Arial" w:hAnsi="Arial" w:cs="Arial"/>
          <w:sz w:val="16"/>
          <w:szCs w:val="16"/>
        </w:rPr>
        <w:t>Idescat</w:t>
      </w:r>
      <w:r>
        <w:rPr>
          <w:rFonts w:ascii="Arial" w:hAnsi="Arial" w:cs="Arial"/>
          <w:sz w:val="16"/>
          <w:szCs w:val="16"/>
        </w:rPr>
        <w:t>.</w:t>
      </w:r>
    </w:p>
    <w:p w:rsidR="00422AC0" w:rsidRPr="00A25B14" w:rsidRDefault="00422AC0" w:rsidP="00A25B14">
      <w:pPr>
        <w:spacing w:line="360" w:lineRule="auto"/>
        <w:rPr>
          <w:rFonts w:ascii="Arial" w:hAnsi="Arial" w:cs="Arial"/>
        </w:rPr>
      </w:pPr>
    </w:p>
    <w:p w:rsidR="005C63C2" w:rsidRDefault="005C63C2" w:rsidP="007932F9">
      <w:pPr>
        <w:spacing w:after="0" w:line="240" w:lineRule="auto"/>
        <w:rPr>
          <w:rFonts w:ascii="Arial" w:hAnsi="Arial" w:cs="Arial"/>
          <w:sz w:val="20"/>
          <w:szCs w:val="20"/>
        </w:rPr>
      </w:pPr>
      <w:r w:rsidRPr="005C63C2">
        <w:rPr>
          <w:rFonts w:ascii="Arial" w:hAnsi="Arial" w:cs="Arial"/>
          <w:b/>
          <w:sz w:val="20"/>
          <w:szCs w:val="20"/>
        </w:rPr>
        <w:t>Població en habitatges sense perceptors d’ingressos</w:t>
      </w:r>
      <w:r w:rsidR="007932F9">
        <w:rPr>
          <w:rFonts w:ascii="Arial" w:hAnsi="Arial" w:cs="Arial"/>
          <w:b/>
          <w:sz w:val="20"/>
          <w:szCs w:val="20"/>
        </w:rPr>
        <w:t>. Catalunya, 2007-2014</w:t>
      </w:r>
    </w:p>
    <w:tbl>
      <w:tblPr>
        <w:tblStyle w:val="Sombreadoclaro-nfasis111"/>
        <w:tblW w:w="5000" w:type="pct"/>
        <w:tblLook w:val="04A0" w:firstRow="1" w:lastRow="0" w:firstColumn="1" w:lastColumn="0" w:noHBand="0" w:noVBand="1"/>
      </w:tblPr>
      <w:tblGrid>
        <w:gridCol w:w="4236"/>
        <w:gridCol w:w="4484"/>
      </w:tblGrid>
      <w:tr w:rsidR="005C63C2" w:rsidRPr="00244D8F" w:rsidTr="0039529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29" w:type="pct"/>
            <w:noWrap/>
            <w:hideMark/>
          </w:tcPr>
          <w:p w:rsidR="005C63C2" w:rsidRPr="00244D8F" w:rsidRDefault="005C63C2" w:rsidP="005C63C2">
            <w:pPr>
              <w:spacing w:after="0" w:line="240" w:lineRule="auto"/>
              <w:rPr>
                <w:rFonts w:eastAsia="Times New Roman"/>
                <w:color w:val="000000"/>
                <w:lang w:eastAsia="ca-ES"/>
              </w:rPr>
            </w:pPr>
          </w:p>
        </w:tc>
        <w:tc>
          <w:tcPr>
            <w:tcW w:w="2571" w:type="pct"/>
            <w:vAlign w:val="center"/>
            <w:hideMark/>
          </w:tcPr>
          <w:p w:rsidR="005C63C2" w:rsidRPr="00244D8F" w:rsidRDefault="005C63C2" w:rsidP="003952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Milers de persones</w:t>
            </w:r>
          </w:p>
        </w:tc>
      </w:tr>
      <w:tr w:rsidR="005C63C2" w:rsidRPr="00244D8F" w:rsidTr="00A25B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2007</w:t>
            </w:r>
          </w:p>
        </w:tc>
        <w:tc>
          <w:tcPr>
            <w:tcW w:w="2571" w:type="pct"/>
            <w:noWrap/>
            <w:vAlign w:val="center"/>
            <w:hideMark/>
          </w:tcPr>
          <w:p w:rsidR="005C63C2" w:rsidRPr="00244D8F" w:rsidRDefault="005C63C2"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106,4</w:t>
            </w:r>
          </w:p>
        </w:tc>
      </w:tr>
      <w:tr w:rsidR="005C63C2" w:rsidRPr="00244D8F" w:rsidTr="00A25B14">
        <w:trPr>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2008</w:t>
            </w:r>
          </w:p>
        </w:tc>
        <w:tc>
          <w:tcPr>
            <w:tcW w:w="2571" w:type="pct"/>
            <w:noWrap/>
            <w:vAlign w:val="center"/>
            <w:hideMark/>
          </w:tcPr>
          <w:p w:rsidR="005C63C2" w:rsidRPr="00244D8F" w:rsidRDefault="005C63C2" w:rsidP="003952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124,9</w:t>
            </w:r>
          </w:p>
        </w:tc>
      </w:tr>
      <w:tr w:rsidR="005C63C2" w:rsidRPr="00244D8F" w:rsidTr="00A25B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2009</w:t>
            </w:r>
          </w:p>
        </w:tc>
        <w:tc>
          <w:tcPr>
            <w:tcW w:w="2571" w:type="pct"/>
            <w:noWrap/>
            <w:vAlign w:val="center"/>
            <w:hideMark/>
          </w:tcPr>
          <w:p w:rsidR="005C63C2" w:rsidRPr="00244D8F" w:rsidRDefault="005C63C2"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158,7</w:t>
            </w:r>
          </w:p>
        </w:tc>
      </w:tr>
      <w:tr w:rsidR="005C63C2" w:rsidRPr="00244D8F" w:rsidTr="00A25B14">
        <w:trPr>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2010</w:t>
            </w:r>
          </w:p>
        </w:tc>
        <w:tc>
          <w:tcPr>
            <w:tcW w:w="2571" w:type="pct"/>
            <w:noWrap/>
            <w:vAlign w:val="center"/>
            <w:hideMark/>
          </w:tcPr>
          <w:p w:rsidR="005C63C2" w:rsidRPr="00244D8F" w:rsidRDefault="005C63C2" w:rsidP="003952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152</w:t>
            </w:r>
            <w:r>
              <w:rPr>
                <w:rFonts w:eastAsia="Times New Roman"/>
                <w:color w:val="000000"/>
                <w:lang w:eastAsia="ca-ES"/>
              </w:rPr>
              <w:t>,</w:t>
            </w:r>
            <w:r w:rsidRPr="00244D8F">
              <w:rPr>
                <w:rFonts w:eastAsia="Times New Roman"/>
                <w:color w:val="000000"/>
                <w:lang w:eastAsia="ca-ES"/>
              </w:rPr>
              <w:t>0</w:t>
            </w:r>
          </w:p>
        </w:tc>
      </w:tr>
      <w:tr w:rsidR="005C63C2" w:rsidRPr="00244D8F" w:rsidTr="00A25B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2011</w:t>
            </w:r>
          </w:p>
        </w:tc>
        <w:tc>
          <w:tcPr>
            <w:tcW w:w="2571" w:type="pct"/>
            <w:noWrap/>
            <w:vAlign w:val="center"/>
            <w:hideMark/>
          </w:tcPr>
          <w:p w:rsidR="005C63C2" w:rsidRPr="00244D8F" w:rsidRDefault="005C63C2"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200</w:t>
            </w:r>
            <w:r>
              <w:rPr>
                <w:rFonts w:eastAsia="Times New Roman"/>
                <w:color w:val="000000"/>
                <w:lang w:eastAsia="ca-ES"/>
              </w:rPr>
              <w:t>,</w:t>
            </w:r>
            <w:r w:rsidRPr="00244D8F">
              <w:rPr>
                <w:rFonts w:eastAsia="Times New Roman"/>
                <w:color w:val="000000"/>
                <w:lang w:eastAsia="ca-ES"/>
              </w:rPr>
              <w:t>9</w:t>
            </w:r>
          </w:p>
        </w:tc>
      </w:tr>
      <w:tr w:rsidR="005C63C2" w:rsidRPr="00244D8F" w:rsidTr="00A25B14">
        <w:trPr>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2012</w:t>
            </w:r>
          </w:p>
        </w:tc>
        <w:tc>
          <w:tcPr>
            <w:tcW w:w="2571" w:type="pct"/>
            <w:noWrap/>
            <w:vAlign w:val="center"/>
            <w:hideMark/>
          </w:tcPr>
          <w:p w:rsidR="005C63C2" w:rsidRPr="00244D8F" w:rsidRDefault="005C63C2" w:rsidP="003952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262</w:t>
            </w:r>
            <w:r>
              <w:rPr>
                <w:rFonts w:eastAsia="Times New Roman"/>
                <w:color w:val="000000"/>
                <w:lang w:eastAsia="ca-ES"/>
              </w:rPr>
              <w:t>,</w:t>
            </w:r>
            <w:r w:rsidRPr="00244D8F">
              <w:rPr>
                <w:rFonts w:eastAsia="Times New Roman"/>
                <w:color w:val="000000"/>
                <w:lang w:eastAsia="ca-ES"/>
              </w:rPr>
              <w:t>4</w:t>
            </w:r>
          </w:p>
        </w:tc>
      </w:tr>
      <w:tr w:rsidR="005C63C2" w:rsidRPr="00244D8F" w:rsidTr="00A25B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2013</w:t>
            </w:r>
          </w:p>
        </w:tc>
        <w:tc>
          <w:tcPr>
            <w:tcW w:w="2571" w:type="pct"/>
            <w:noWrap/>
            <w:vAlign w:val="center"/>
            <w:hideMark/>
          </w:tcPr>
          <w:p w:rsidR="005C63C2" w:rsidRPr="00244D8F" w:rsidRDefault="005C63C2" w:rsidP="003952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235</w:t>
            </w:r>
            <w:r>
              <w:rPr>
                <w:rFonts w:eastAsia="Times New Roman"/>
                <w:color w:val="000000"/>
                <w:lang w:eastAsia="ca-ES"/>
              </w:rPr>
              <w:t>,</w:t>
            </w:r>
            <w:r w:rsidRPr="00244D8F">
              <w:rPr>
                <w:rFonts w:eastAsia="Times New Roman"/>
                <w:color w:val="000000"/>
                <w:lang w:eastAsia="ca-ES"/>
              </w:rPr>
              <w:t>4</w:t>
            </w:r>
          </w:p>
        </w:tc>
      </w:tr>
      <w:tr w:rsidR="005C63C2" w:rsidRPr="00244D8F" w:rsidTr="00A25B14">
        <w:trPr>
          <w:trHeight w:val="300"/>
        </w:trPr>
        <w:tc>
          <w:tcPr>
            <w:cnfStyle w:val="001000000000" w:firstRow="0" w:lastRow="0" w:firstColumn="1" w:lastColumn="0" w:oddVBand="0" w:evenVBand="0" w:oddHBand="0" w:evenHBand="0" w:firstRowFirstColumn="0" w:firstRowLastColumn="0" w:lastRowFirstColumn="0" w:lastRowLastColumn="0"/>
            <w:tcW w:w="2429" w:type="pct"/>
            <w:noWrap/>
            <w:vAlign w:val="center"/>
            <w:hideMark/>
          </w:tcPr>
          <w:p w:rsidR="005C63C2" w:rsidRPr="00244D8F" w:rsidRDefault="005C63C2" w:rsidP="00A25B14">
            <w:pPr>
              <w:spacing w:after="0" w:line="240" w:lineRule="auto"/>
              <w:jc w:val="left"/>
              <w:rPr>
                <w:rFonts w:eastAsia="Times New Roman"/>
                <w:color w:val="000000"/>
                <w:lang w:eastAsia="ca-ES"/>
              </w:rPr>
            </w:pPr>
            <w:r w:rsidRPr="00244D8F">
              <w:rPr>
                <w:rFonts w:eastAsia="Times New Roman"/>
                <w:color w:val="000000"/>
                <w:lang w:eastAsia="ca-ES"/>
              </w:rPr>
              <w:t>2014</w:t>
            </w:r>
          </w:p>
        </w:tc>
        <w:tc>
          <w:tcPr>
            <w:tcW w:w="2571" w:type="pct"/>
            <w:noWrap/>
            <w:vAlign w:val="center"/>
            <w:hideMark/>
          </w:tcPr>
          <w:p w:rsidR="005C63C2" w:rsidRPr="00244D8F" w:rsidRDefault="005C63C2" w:rsidP="003952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ca-ES"/>
              </w:rPr>
            </w:pPr>
            <w:r w:rsidRPr="00244D8F">
              <w:rPr>
                <w:rFonts w:eastAsia="Times New Roman"/>
                <w:color w:val="000000"/>
                <w:lang w:eastAsia="ca-ES"/>
              </w:rPr>
              <w:t>201,1</w:t>
            </w:r>
          </w:p>
        </w:tc>
      </w:tr>
    </w:tbl>
    <w:p w:rsidR="005C63C2" w:rsidRDefault="005C63C2" w:rsidP="00A25B14">
      <w:pPr>
        <w:spacing w:line="360" w:lineRule="auto"/>
        <w:jc w:val="both"/>
        <w:rPr>
          <w:rFonts w:ascii="Arial" w:hAnsi="Arial" w:cs="Arial"/>
          <w:sz w:val="16"/>
          <w:szCs w:val="16"/>
        </w:rPr>
      </w:pPr>
      <w:r w:rsidRPr="000D4044">
        <w:rPr>
          <w:rFonts w:ascii="Arial" w:hAnsi="Arial" w:cs="Arial"/>
          <w:sz w:val="16"/>
          <w:szCs w:val="16"/>
        </w:rPr>
        <w:t>Font: I</w:t>
      </w:r>
      <w:r w:rsidR="007932F9">
        <w:rPr>
          <w:rFonts w:ascii="Arial" w:hAnsi="Arial" w:cs="Arial"/>
          <w:sz w:val="16"/>
          <w:szCs w:val="16"/>
        </w:rPr>
        <w:t>descat</w:t>
      </w:r>
      <w:r w:rsidR="00D3305A">
        <w:rPr>
          <w:rFonts w:ascii="Arial" w:hAnsi="Arial" w:cs="Arial"/>
          <w:sz w:val="16"/>
          <w:szCs w:val="16"/>
        </w:rPr>
        <w:t>.</w:t>
      </w:r>
    </w:p>
    <w:p w:rsidR="00592786" w:rsidRDefault="00592786">
      <w:pPr>
        <w:spacing w:after="0" w:line="240" w:lineRule="auto"/>
        <w:rPr>
          <w:rFonts w:ascii="Arial" w:hAnsi="Arial" w:cs="Arial"/>
        </w:rPr>
      </w:pPr>
    </w:p>
    <w:p w:rsidR="00A25B14" w:rsidRDefault="00A25B14" w:rsidP="00A25B14">
      <w:pPr>
        <w:spacing w:line="360" w:lineRule="auto"/>
        <w:jc w:val="both"/>
        <w:rPr>
          <w:rFonts w:ascii="Arial" w:hAnsi="Arial" w:cs="Arial"/>
        </w:rPr>
      </w:pPr>
    </w:p>
    <w:p w:rsidR="00422AC0" w:rsidRPr="00A25B14" w:rsidRDefault="00422AC0" w:rsidP="00A25B14">
      <w:pPr>
        <w:spacing w:line="360" w:lineRule="auto"/>
        <w:jc w:val="both"/>
        <w:rPr>
          <w:rFonts w:ascii="Arial" w:hAnsi="Arial" w:cs="Arial"/>
        </w:rPr>
      </w:pPr>
    </w:p>
    <w:p w:rsidR="00D3305A" w:rsidRPr="00072B34" w:rsidRDefault="00072B34" w:rsidP="00A25B14">
      <w:pPr>
        <w:spacing w:after="0" w:line="360" w:lineRule="auto"/>
        <w:rPr>
          <w:rFonts w:ascii="Arial" w:hAnsi="Arial" w:cs="Arial"/>
          <w:b/>
          <w:sz w:val="20"/>
          <w:szCs w:val="20"/>
        </w:rPr>
      </w:pPr>
      <w:r w:rsidRPr="00072B34">
        <w:rPr>
          <w:rFonts w:ascii="Arial" w:hAnsi="Arial" w:cs="Arial"/>
          <w:b/>
          <w:sz w:val="20"/>
          <w:szCs w:val="20"/>
        </w:rPr>
        <w:lastRenderedPageBreak/>
        <w:t>Persones per dificultat</w:t>
      </w:r>
      <w:r>
        <w:rPr>
          <w:rFonts w:ascii="Arial" w:hAnsi="Arial" w:cs="Arial"/>
          <w:b/>
          <w:sz w:val="20"/>
          <w:szCs w:val="20"/>
        </w:rPr>
        <w:t>s</w:t>
      </w:r>
      <w:r w:rsidRPr="00072B34">
        <w:rPr>
          <w:rFonts w:ascii="Arial" w:hAnsi="Arial" w:cs="Arial"/>
          <w:b/>
          <w:sz w:val="20"/>
          <w:szCs w:val="20"/>
        </w:rPr>
        <w:t xml:space="preserve"> per arribar a final d</w:t>
      </w:r>
      <w:r w:rsidR="00FB35EC">
        <w:rPr>
          <w:rFonts w:ascii="Arial" w:hAnsi="Arial" w:cs="Arial"/>
          <w:b/>
          <w:sz w:val="20"/>
          <w:szCs w:val="20"/>
        </w:rPr>
        <w:t>e</w:t>
      </w:r>
      <w:r w:rsidRPr="00072B34">
        <w:rPr>
          <w:rFonts w:ascii="Arial" w:hAnsi="Arial" w:cs="Arial"/>
          <w:b/>
          <w:sz w:val="20"/>
          <w:szCs w:val="20"/>
        </w:rPr>
        <w:t xml:space="preserve"> mes. Catalunya, 2004-2014</w:t>
      </w:r>
    </w:p>
    <w:tbl>
      <w:tblPr>
        <w:tblW w:w="5000" w:type="pct"/>
        <w:tblCellMar>
          <w:left w:w="70" w:type="dxa"/>
          <w:right w:w="70" w:type="dxa"/>
        </w:tblCellMar>
        <w:tblLook w:val="04A0" w:firstRow="1" w:lastRow="0" w:firstColumn="1" w:lastColumn="0" w:noHBand="0" w:noVBand="1"/>
      </w:tblPr>
      <w:tblGrid>
        <w:gridCol w:w="2785"/>
        <w:gridCol w:w="651"/>
        <w:gridCol w:w="651"/>
        <w:gridCol w:w="651"/>
        <w:gridCol w:w="651"/>
        <w:gridCol w:w="651"/>
        <w:gridCol w:w="651"/>
        <w:gridCol w:w="651"/>
        <w:gridCol w:w="651"/>
        <w:gridCol w:w="651"/>
      </w:tblGrid>
      <w:tr w:rsidR="00D3305A" w:rsidRPr="00DC3B83" w:rsidTr="00D3305A">
        <w:trPr>
          <w:trHeight w:val="450"/>
        </w:trPr>
        <w:tc>
          <w:tcPr>
            <w:tcW w:w="1693"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2008</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2009</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2010</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2011</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2012</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2013</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2014</w:t>
            </w:r>
          </w:p>
        </w:tc>
        <w:tc>
          <w:tcPr>
            <w:tcW w:w="367" w:type="pct"/>
            <w:tcBorders>
              <w:top w:val="single" w:sz="4" w:space="0" w:color="4F81BD"/>
              <w:left w:val="single" w:sz="4" w:space="0" w:color="4F81BD"/>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2004-2007</w:t>
            </w:r>
          </w:p>
        </w:tc>
        <w:tc>
          <w:tcPr>
            <w:tcW w:w="367" w:type="pct"/>
            <w:tcBorders>
              <w:top w:val="single" w:sz="4" w:space="0" w:color="4F81BD"/>
              <w:left w:val="nil"/>
              <w:bottom w:val="single" w:sz="4" w:space="0" w:color="4F81BD"/>
              <w:right w:val="nil"/>
            </w:tcBorders>
            <w:shd w:val="clear" w:color="auto" w:fill="auto"/>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2008-2014</w:t>
            </w:r>
          </w:p>
        </w:tc>
      </w:tr>
      <w:tr w:rsidR="00D3305A" w:rsidRPr="00DC3B83" w:rsidTr="00D3305A">
        <w:trPr>
          <w:trHeight w:val="450"/>
        </w:trPr>
        <w:tc>
          <w:tcPr>
            <w:tcW w:w="1693" w:type="pct"/>
            <w:tcBorders>
              <w:top w:val="nil"/>
              <w:left w:val="nil"/>
              <w:bottom w:val="nil"/>
              <w:right w:val="nil"/>
            </w:tcBorders>
            <w:shd w:val="clear" w:color="000000" w:fill="DBE5F1"/>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Amb certa dificultat, amb dificultat, i amb molta dificultat.</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64,3%</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65,5%</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62,5%</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56,3%</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64,0%</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65,1%</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67,2%</w:t>
            </w:r>
          </w:p>
        </w:tc>
        <w:tc>
          <w:tcPr>
            <w:tcW w:w="367" w:type="pct"/>
            <w:tcBorders>
              <w:top w:val="nil"/>
              <w:left w:val="single" w:sz="4" w:space="0" w:color="4F81BD"/>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60,2%</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63,6%</w:t>
            </w:r>
          </w:p>
        </w:tc>
      </w:tr>
      <w:tr w:rsidR="00D3305A" w:rsidRPr="00DC3B83" w:rsidTr="00D3305A">
        <w:trPr>
          <w:trHeight w:val="225"/>
        </w:trPr>
        <w:tc>
          <w:tcPr>
            <w:tcW w:w="1693" w:type="pct"/>
            <w:tcBorders>
              <w:top w:val="nil"/>
              <w:left w:val="nil"/>
              <w:bottom w:val="nil"/>
              <w:right w:val="nil"/>
            </w:tcBorders>
            <w:shd w:val="clear" w:color="auto" w:fill="auto"/>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xml:space="preserve">  Amb molta dificultat</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13,2%</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16,8%</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14,9%</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5,6%</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13,4%</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15,5%</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12,9%</w:t>
            </w:r>
          </w:p>
        </w:tc>
        <w:tc>
          <w:tcPr>
            <w:tcW w:w="367" w:type="pct"/>
            <w:tcBorders>
              <w:top w:val="nil"/>
              <w:left w:val="single" w:sz="4" w:space="0" w:color="4F81BD"/>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11,8%</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13,2%</w:t>
            </w:r>
          </w:p>
        </w:tc>
      </w:tr>
      <w:tr w:rsidR="00D3305A" w:rsidRPr="00DC3B83" w:rsidTr="00D3305A">
        <w:trPr>
          <w:trHeight w:val="225"/>
        </w:trPr>
        <w:tc>
          <w:tcPr>
            <w:tcW w:w="1693" w:type="pct"/>
            <w:tcBorders>
              <w:top w:val="nil"/>
              <w:left w:val="nil"/>
              <w:bottom w:val="nil"/>
              <w:right w:val="nil"/>
            </w:tcBorders>
            <w:shd w:val="clear" w:color="000000" w:fill="DBE5F1"/>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xml:space="preserve">  Amb dificultat</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19,0%</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18,2%</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16,5%</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19,4%</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20,7%</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21,0%</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19,3%</w:t>
            </w:r>
          </w:p>
        </w:tc>
        <w:tc>
          <w:tcPr>
            <w:tcW w:w="367" w:type="pct"/>
            <w:tcBorders>
              <w:top w:val="nil"/>
              <w:left w:val="single" w:sz="4" w:space="0" w:color="4F81BD"/>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16,8%</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19,2%</w:t>
            </w:r>
          </w:p>
        </w:tc>
      </w:tr>
      <w:tr w:rsidR="00D3305A" w:rsidRPr="00DC3B83" w:rsidTr="00D3305A">
        <w:trPr>
          <w:trHeight w:val="225"/>
        </w:trPr>
        <w:tc>
          <w:tcPr>
            <w:tcW w:w="1693" w:type="pct"/>
            <w:tcBorders>
              <w:top w:val="nil"/>
              <w:left w:val="nil"/>
              <w:bottom w:val="nil"/>
              <w:right w:val="nil"/>
            </w:tcBorders>
            <w:shd w:val="clear" w:color="auto" w:fill="auto"/>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xml:space="preserve">  Amb certa dificultat</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32,1%</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30,5%</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31,1%</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31,3%</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29,9%</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28,6%</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35,0%</w:t>
            </w:r>
          </w:p>
        </w:tc>
        <w:tc>
          <w:tcPr>
            <w:tcW w:w="367" w:type="pct"/>
            <w:tcBorders>
              <w:top w:val="nil"/>
              <w:left w:val="single" w:sz="4" w:space="0" w:color="4F81BD"/>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31,7%</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31,2%</w:t>
            </w:r>
          </w:p>
        </w:tc>
      </w:tr>
      <w:tr w:rsidR="00D3305A" w:rsidRPr="00DC3B83" w:rsidTr="00D3305A">
        <w:trPr>
          <w:trHeight w:val="450"/>
        </w:trPr>
        <w:tc>
          <w:tcPr>
            <w:tcW w:w="1693" w:type="pct"/>
            <w:tcBorders>
              <w:top w:val="nil"/>
              <w:left w:val="nil"/>
              <w:bottom w:val="nil"/>
              <w:right w:val="nil"/>
            </w:tcBorders>
            <w:shd w:val="clear" w:color="000000" w:fill="DBE5F1"/>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Amb certa facilitat, amb facilitat, i amb molta facilitat.</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35,6%</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34,5%</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37,6%</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43,7%</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35,9%</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35,0%</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32,8%</w:t>
            </w:r>
          </w:p>
        </w:tc>
        <w:tc>
          <w:tcPr>
            <w:tcW w:w="367" w:type="pct"/>
            <w:tcBorders>
              <w:top w:val="nil"/>
              <w:left w:val="single" w:sz="4" w:space="0" w:color="4F81BD"/>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39,6%</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36,4%</w:t>
            </w:r>
          </w:p>
        </w:tc>
      </w:tr>
      <w:tr w:rsidR="00D3305A" w:rsidRPr="00DC3B83" w:rsidTr="00D3305A">
        <w:trPr>
          <w:trHeight w:val="225"/>
        </w:trPr>
        <w:tc>
          <w:tcPr>
            <w:tcW w:w="1693" w:type="pct"/>
            <w:tcBorders>
              <w:top w:val="nil"/>
              <w:left w:val="nil"/>
              <w:bottom w:val="nil"/>
              <w:right w:val="nil"/>
            </w:tcBorders>
            <w:shd w:val="clear" w:color="auto" w:fill="auto"/>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xml:space="preserve">  Amb certa facilitat</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25,9%</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24,1%</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24,5%</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31,5%</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27,7%</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25,0%</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25,9%</w:t>
            </w:r>
          </w:p>
        </w:tc>
        <w:tc>
          <w:tcPr>
            <w:tcW w:w="367" w:type="pct"/>
            <w:tcBorders>
              <w:top w:val="nil"/>
              <w:left w:val="single" w:sz="4" w:space="0" w:color="4F81BD"/>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25,9%</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26,4%</w:t>
            </w:r>
          </w:p>
        </w:tc>
      </w:tr>
      <w:tr w:rsidR="00D3305A" w:rsidRPr="00DC3B83" w:rsidTr="00D3305A">
        <w:trPr>
          <w:trHeight w:val="225"/>
        </w:trPr>
        <w:tc>
          <w:tcPr>
            <w:tcW w:w="1693" w:type="pct"/>
            <w:tcBorders>
              <w:top w:val="nil"/>
              <w:left w:val="nil"/>
              <w:bottom w:val="nil"/>
              <w:right w:val="nil"/>
            </w:tcBorders>
            <w:shd w:val="clear" w:color="000000" w:fill="DBE5F1"/>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xml:space="preserve">  Amb facilitat</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8,8%</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9,8%</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11,8%</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11,8%</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8,1%</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9,0%</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6,7%</w:t>
            </w:r>
          </w:p>
        </w:tc>
        <w:tc>
          <w:tcPr>
            <w:tcW w:w="367" w:type="pct"/>
            <w:tcBorders>
              <w:top w:val="nil"/>
              <w:left w:val="single" w:sz="4" w:space="0" w:color="4F81BD"/>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12,8%</w:t>
            </w:r>
          </w:p>
        </w:tc>
        <w:tc>
          <w:tcPr>
            <w:tcW w:w="367" w:type="pct"/>
            <w:tcBorders>
              <w:top w:val="nil"/>
              <w:left w:val="nil"/>
              <w:bottom w:val="nil"/>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9,4%</w:t>
            </w:r>
          </w:p>
        </w:tc>
      </w:tr>
      <w:tr w:rsidR="00D3305A" w:rsidRPr="00DC3B83" w:rsidTr="00D3305A">
        <w:trPr>
          <w:trHeight w:val="225"/>
        </w:trPr>
        <w:tc>
          <w:tcPr>
            <w:tcW w:w="1693" w:type="pct"/>
            <w:tcBorders>
              <w:top w:val="nil"/>
              <w:left w:val="nil"/>
              <w:bottom w:val="nil"/>
              <w:right w:val="nil"/>
            </w:tcBorders>
            <w:shd w:val="clear" w:color="auto" w:fill="auto"/>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xml:space="preserve">  Amb molta facilitat</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0,9%</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0,6%</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1,3%</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0,4%</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0,1%</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1,0%</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0,2%</w:t>
            </w:r>
          </w:p>
        </w:tc>
        <w:tc>
          <w:tcPr>
            <w:tcW w:w="367" w:type="pct"/>
            <w:tcBorders>
              <w:top w:val="nil"/>
              <w:left w:val="single" w:sz="4" w:space="0" w:color="4F81BD"/>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1,0%</w:t>
            </w:r>
          </w:p>
        </w:tc>
        <w:tc>
          <w:tcPr>
            <w:tcW w:w="367" w:type="pct"/>
            <w:tcBorders>
              <w:top w:val="nil"/>
              <w:left w:val="nil"/>
              <w:bottom w:val="nil"/>
              <w:right w:val="nil"/>
            </w:tcBorders>
            <w:shd w:val="clear" w:color="auto" w:fill="auto"/>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0,6%</w:t>
            </w:r>
          </w:p>
        </w:tc>
      </w:tr>
      <w:tr w:rsidR="00D3305A" w:rsidRPr="00DC3B83" w:rsidTr="00D3305A">
        <w:trPr>
          <w:trHeight w:val="225"/>
        </w:trPr>
        <w:tc>
          <w:tcPr>
            <w:tcW w:w="1693" w:type="pct"/>
            <w:tcBorders>
              <w:top w:val="nil"/>
              <w:left w:val="nil"/>
              <w:bottom w:val="single" w:sz="4" w:space="0" w:color="4F81BD"/>
              <w:right w:val="nil"/>
            </w:tcBorders>
            <w:shd w:val="clear" w:color="000000" w:fill="DBE5F1"/>
            <w:vAlign w:val="center"/>
            <w:hideMark/>
          </w:tcPr>
          <w:p w:rsidR="00D3305A" w:rsidRPr="00DC3B83" w:rsidRDefault="00D3305A" w:rsidP="00D3305A">
            <w:pPr>
              <w:spacing w:after="0" w:line="240" w:lineRule="auto"/>
              <w:rPr>
                <w:rFonts w:ascii="Arial" w:eastAsia="Times New Roman" w:hAnsi="Arial" w:cs="Arial"/>
                <w:b/>
                <w:bCs/>
                <w:color w:val="000000"/>
                <w:sz w:val="18"/>
                <w:szCs w:val="18"/>
                <w:lang w:eastAsia="es-ES"/>
              </w:rPr>
            </w:pPr>
            <w:r w:rsidRPr="00DC3B83">
              <w:rPr>
                <w:rFonts w:ascii="Arial" w:eastAsia="Times New Roman" w:hAnsi="Arial" w:cs="Arial"/>
                <w:b/>
                <w:bCs/>
                <w:color w:val="000000"/>
                <w:sz w:val="18"/>
                <w:szCs w:val="18"/>
                <w:lang w:eastAsia="es-ES"/>
              </w:rPr>
              <w:t xml:space="preserve">  No consta</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0,1%</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c>
          <w:tcPr>
            <w:tcW w:w="367" w:type="pct"/>
            <w:tcBorders>
              <w:top w:val="nil"/>
              <w:left w:val="single" w:sz="4" w:space="0" w:color="4F81BD"/>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c>
          <w:tcPr>
            <w:tcW w:w="367" w:type="pct"/>
            <w:tcBorders>
              <w:top w:val="nil"/>
              <w:left w:val="nil"/>
              <w:bottom w:val="single" w:sz="4" w:space="0" w:color="4F81BD"/>
              <w:right w:val="nil"/>
            </w:tcBorders>
            <w:shd w:val="clear" w:color="000000" w:fill="DBE5F1"/>
            <w:noWrap/>
            <w:vAlign w:val="center"/>
            <w:hideMark/>
          </w:tcPr>
          <w:p w:rsidR="00D3305A" w:rsidRPr="00DC3B83" w:rsidRDefault="00D3305A" w:rsidP="00D3305A">
            <w:pPr>
              <w:spacing w:after="0" w:line="240" w:lineRule="auto"/>
              <w:jc w:val="center"/>
              <w:rPr>
                <w:rFonts w:ascii="Arial" w:eastAsia="Times New Roman" w:hAnsi="Arial" w:cs="Arial"/>
                <w:color w:val="000000"/>
                <w:sz w:val="18"/>
                <w:szCs w:val="18"/>
                <w:lang w:eastAsia="es-ES"/>
              </w:rPr>
            </w:pPr>
            <w:r w:rsidRPr="00DC3B83">
              <w:rPr>
                <w:rFonts w:ascii="Arial" w:eastAsia="Times New Roman" w:hAnsi="Arial" w:cs="Arial"/>
                <w:color w:val="000000"/>
                <w:sz w:val="18"/>
                <w:szCs w:val="18"/>
                <w:lang w:eastAsia="es-ES"/>
              </w:rPr>
              <w:t>..</w:t>
            </w:r>
          </w:p>
        </w:tc>
      </w:tr>
    </w:tbl>
    <w:p w:rsidR="00072B34" w:rsidRDefault="00072B34" w:rsidP="00DC3B83">
      <w:pPr>
        <w:spacing w:line="360" w:lineRule="auto"/>
        <w:jc w:val="both"/>
        <w:rPr>
          <w:rFonts w:ascii="Arial" w:hAnsi="Arial" w:cs="Arial"/>
          <w:sz w:val="16"/>
          <w:szCs w:val="16"/>
        </w:rPr>
      </w:pPr>
      <w:r>
        <w:rPr>
          <w:rFonts w:ascii="Arial" w:hAnsi="Arial" w:cs="Arial"/>
          <w:sz w:val="16"/>
          <w:szCs w:val="16"/>
        </w:rPr>
        <w:t>Font: ECV, INE.</w:t>
      </w:r>
    </w:p>
    <w:p w:rsidR="00422AC0" w:rsidRDefault="00422AC0" w:rsidP="00AD69D5">
      <w:pPr>
        <w:jc w:val="both"/>
        <w:rPr>
          <w:rFonts w:ascii="Arial" w:hAnsi="Arial" w:cs="Arial"/>
          <w:b/>
          <w:i/>
        </w:rPr>
      </w:pPr>
    </w:p>
    <w:p w:rsidR="00AD69D5" w:rsidRPr="00E848CD" w:rsidRDefault="005E7F67" w:rsidP="00AD69D5">
      <w:pPr>
        <w:jc w:val="both"/>
        <w:rPr>
          <w:rFonts w:ascii="Arial" w:hAnsi="Arial" w:cs="Arial"/>
          <w:b/>
          <w:i/>
        </w:rPr>
      </w:pPr>
      <w:r>
        <w:rPr>
          <w:rFonts w:ascii="Arial" w:hAnsi="Arial" w:cs="Arial"/>
          <w:b/>
          <w:i/>
        </w:rPr>
        <w:t>Bretxa del risc</w:t>
      </w:r>
      <w:r w:rsidR="00AD69D5">
        <w:rPr>
          <w:rFonts w:ascii="Arial" w:hAnsi="Arial" w:cs="Arial"/>
          <w:b/>
          <w:i/>
        </w:rPr>
        <w:t xml:space="preserve"> de pobresa</w:t>
      </w:r>
    </w:p>
    <w:p w:rsidR="00AD69D5" w:rsidRPr="000D4044" w:rsidRDefault="00AD69D5" w:rsidP="00AD69D5">
      <w:pPr>
        <w:jc w:val="both"/>
        <w:rPr>
          <w:rFonts w:ascii="Arial" w:hAnsi="Arial" w:cs="Arial"/>
        </w:rPr>
      </w:pPr>
      <w:r>
        <w:rPr>
          <w:rFonts w:ascii="Arial" w:hAnsi="Arial" w:cs="Arial"/>
        </w:rPr>
        <w:t>A més del percentatge de població que considerem pobre,</w:t>
      </w:r>
      <w:r w:rsidRPr="00E27FDF">
        <w:rPr>
          <w:rFonts w:ascii="Arial" w:hAnsi="Arial" w:cs="Arial"/>
        </w:rPr>
        <w:t xml:space="preserve"> </w:t>
      </w:r>
      <w:r>
        <w:rPr>
          <w:rFonts w:ascii="Arial" w:hAnsi="Arial" w:cs="Arial"/>
        </w:rPr>
        <w:t>també podem identificar l’evolució del grau de pobresa que pateixen les persones considerades com a pobres. En aquest sentit, l</w:t>
      </w:r>
      <w:r w:rsidRPr="000D4044">
        <w:rPr>
          <w:rFonts w:ascii="Arial" w:hAnsi="Arial" w:cs="Arial"/>
        </w:rPr>
        <w:t>a </w:t>
      </w:r>
      <w:r w:rsidRPr="000D4044">
        <w:rPr>
          <w:rFonts w:ascii="Arial" w:hAnsi="Arial" w:cs="Arial"/>
          <w:b/>
          <w:bCs/>
        </w:rPr>
        <w:t>bretxa del risc de pobresa </w:t>
      </w:r>
      <w:r w:rsidRPr="000D4044">
        <w:rPr>
          <w:rFonts w:ascii="Arial" w:hAnsi="Arial" w:cs="Arial"/>
        </w:rPr>
        <w:t>és un indicador que mostra, en termes percentuals, la distància entre la mediana dels ingressos equivalents de la població en risc de pobresa i el llindar de risc de pobresa</w:t>
      </w:r>
      <w:r w:rsidRPr="000D4044">
        <w:rPr>
          <w:rStyle w:val="Refdenotaalpie"/>
          <w:rFonts w:ascii="Arial" w:hAnsi="Arial" w:cs="Arial"/>
        </w:rPr>
        <w:footnoteReference w:id="12"/>
      </w:r>
      <w:r w:rsidRPr="000D4044">
        <w:rPr>
          <w:rFonts w:ascii="Arial" w:hAnsi="Arial" w:cs="Arial"/>
        </w:rPr>
        <w:t>. La bretxa del risc de pobresa indica, doncs, la distància entre la situació econòmica de la població considerada pobra i el límit de la “normalitat” que fixa el llindar de pobresa. Per tant, com més alta és la bretxa del risc de pobresa, més s’empobreixen els pobres, o el que és el mateix, com més alta és la bretxa, pitjor és la situació de la població considerada pobra.</w:t>
      </w:r>
    </w:p>
    <w:p w:rsidR="00AD69D5" w:rsidRPr="000D4044" w:rsidRDefault="00AD69D5" w:rsidP="00AD69D5">
      <w:pPr>
        <w:jc w:val="both"/>
        <w:rPr>
          <w:rFonts w:ascii="Arial" w:hAnsi="Arial" w:cs="Arial"/>
        </w:rPr>
      </w:pPr>
      <w:r w:rsidRPr="000D4044">
        <w:rPr>
          <w:rFonts w:ascii="Arial" w:hAnsi="Arial" w:cs="Arial"/>
        </w:rPr>
        <w:t xml:space="preserve">Fets aquest aclariments, podem observar als gràfics que la bretxa </w:t>
      </w:r>
      <w:r>
        <w:rPr>
          <w:rFonts w:ascii="Arial" w:hAnsi="Arial" w:cs="Arial"/>
        </w:rPr>
        <w:t>h</w:t>
      </w:r>
      <w:r w:rsidRPr="000D4044">
        <w:rPr>
          <w:rFonts w:ascii="Arial" w:hAnsi="Arial" w:cs="Arial"/>
        </w:rPr>
        <w:t>a augmenta</w:t>
      </w:r>
      <w:r>
        <w:rPr>
          <w:rFonts w:ascii="Arial" w:hAnsi="Arial" w:cs="Arial"/>
        </w:rPr>
        <w:t xml:space="preserve">t al llarg dels anys de crisi </w:t>
      </w:r>
      <w:r w:rsidRPr="000D4044">
        <w:rPr>
          <w:rFonts w:ascii="Arial" w:hAnsi="Arial" w:cs="Arial"/>
        </w:rPr>
        <w:t>a Catalunya en gairebé 1</w:t>
      </w:r>
      <w:r>
        <w:rPr>
          <w:rFonts w:ascii="Arial" w:hAnsi="Arial" w:cs="Arial"/>
        </w:rPr>
        <w:t>5</w:t>
      </w:r>
      <w:r w:rsidRPr="000D4044">
        <w:rPr>
          <w:rFonts w:ascii="Arial" w:hAnsi="Arial" w:cs="Arial"/>
        </w:rPr>
        <w:t xml:space="preserve"> punts percentuals entre el 2007 i el 2014, és a dir, durant aquest període s</w:t>
      </w:r>
      <w:r>
        <w:rPr>
          <w:rFonts w:ascii="Arial" w:hAnsi="Arial" w:cs="Arial"/>
        </w:rPr>
        <w:t>’ha</w:t>
      </w:r>
      <w:r w:rsidRPr="000D4044">
        <w:rPr>
          <w:rFonts w:ascii="Arial" w:hAnsi="Arial" w:cs="Arial"/>
        </w:rPr>
        <w:t xml:space="preserve"> produ</w:t>
      </w:r>
      <w:r>
        <w:rPr>
          <w:rFonts w:ascii="Arial" w:hAnsi="Arial" w:cs="Arial"/>
        </w:rPr>
        <w:t>ït</w:t>
      </w:r>
      <w:r w:rsidRPr="000D4044">
        <w:rPr>
          <w:rFonts w:ascii="Arial" w:hAnsi="Arial" w:cs="Arial"/>
        </w:rPr>
        <w:t xml:space="preserve"> un fortíssim empitjorament de la situació dels pobres a Catalunya. Un empitjorament clarament superior al que s</w:t>
      </w:r>
      <w:r w:rsidR="006D2D6A">
        <w:rPr>
          <w:rFonts w:ascii="Arial" w:hAnsi="Arial" w:cs="Arial"/>
        </w:rPr>
        <w:t>’observa</w:t>
      </w:r>
      <w:r w:rsidRPr="000D4044">
        <w:rPr>
          <w:rFonts w:ascii="Arial" w:hAnsi="Arial" w:cs="Arial"/>
        </w:rPr>
        <w:t xml:space="preserve"> a</w:t>
      </w:r>
      <w:r>
        <w:rPr>
          <w:rFonts w:ascii="Arial" w:hAnsi="Arial" w:cs="Arial"/>
        </w:rPr>
        <w:t xml:space="preserve"> Espanya. La </w:t>
      </w:r>
      <w:r w:rsidR="006D2D6A">
        <w:rPr>
          <w:rFonts w:ascii="Arial" w:hAnsi="Arial" w:cs="Arial"/>
        </w:rPr>
        <w:t>b</w:t>
      </w:r>
      <w:r>
        <w:rPr>
          <w:rFonts w:ascii="Arial" w:hAnsi="Arial" w:cs="Arial"/>
        </w:rPr>
        <w:t>retxa en el 2014 és a Catalunya gairebé 6</w:t>
      </w:r>
      <w:r w:rsidRPr="000D4044">
        <w:rPr>
          <w:rFonts w:ascii="Arial" w:hAnsi="Arial" w:cs="Arial"/>
        </w:rPr>
        <w:t xml:space="preserve"> punts superior a la d’Espanya. Després d’una forta caiguda en el 2013, en el 2014 la taxa torna a augmentar i s’acosta a la del 2012.</w:t>
      </w:r>
    </w:p>
    <w:p w:rsidR="00AD69D5" w:rsidRDefault="00AD69D5" w:rsidP="00AD69D5">
      <w:pPr>
        <w:jc w:val="both"/>
        <w:rPr>
          <w:rFonts w:ascii="Arial" w:hAnsi="Arial" w:cs="Arial"/>
        </w:rPr>
      </w:pPr>
      <w:r w:rsidRPr="000D4044">
        <w:rPr>
          <w:rFonts w:ascii="Arial" w:hAnsi="Arial" w:cs="Arial"/>
        </w:rPr>
        <w:t>Els menors de 18 anys presenten una bretxa lleugerament superior a la del total de la població i el seu empitjorament al llarg del període és de 1</w:t>
      </w:r>
      <w:r>
        <w:rPr>
          <w:rFonts w:ascii="Arial" w:hAnsi="Arial" w:cs="Arial"/>
        </w:rPr>
        <w:t>6 punts.</w:t>
      </w:r>
    </w:p>
    <w:p w:rsidR="00AD69D5" w:rsidRPr="000D4044" w:rsidRDefault="00AD69D5" w:rsidP="00AD69D5">
      <w:pPr>
        <w:jc w:val="both"/>
        <w:rPr>
          <w:rFonts w:ascii="Arial" w:hAnsi="Arial" w:cs="Arial"/>
        </w:rPr>
      </w:pPr>
      <w:r w:rsidRPr="000D4044">
        <w:rPr>
          <w:rFonts w:ascii="Arial" w:hAnsi="Arial" w:cs="Arial"/>
        </w:rPr>
        <w:t>Per sexes, destaquem la dada del 2014 on podem veure que la situació dels homes és lleugerament pitjor que la de les dones, tant a Catalunya com a Espanya, tot i que a Catalunya la diferència per sexes és més important.</w:t>
      </w:r>
    </w:p>
    <w:p w:rsidR="007932F9" w:rsidRDefault="00AD69D5" w:rsidP="00B43F2A">
      <w:pPr>
        <w:jc w:val="both"/>
        <w:rPr>
          <w:rFonts w:ascii="Arial" w:hAnsi="Arial" w:cs="Arial"/>
        </w:rPr>
      </w:pPr>
      <w:r w:rsidRPr="000D4044">
        <w:rPr>
          <w:rFonts w:ascii="Arial" w:hAnsi="Arial" w:cs="Arial"/>
        </w:rPr>
        <w:t>En resum</w:t>
      </w:r>
      <w:r w:rsidR="002A6E9B">
        <w:rPr>
          <w:rFonts w:ascii="Arial" w:hAnsi="Arial" w:cs="Arial"/>
        </w:rPr>
        <w:t>, cal dir que</w:t>
      </w:r>
      <w:r w:rsidRPr="000D4044">
        <w:rPr>
          <w:rFonts w:ascii="Arial" w:hAnsi="Arial" w:cs="Arial"/>
        </w:rPr>
        <w:t xml:space="preserve"> la bretxa de risc de pobresa s’ha incrementat a Catalunya i ho ha fet més que a Espanya i a la UE. En el 2014, els pobres són més pobres del que eren </w:t>
      </w:r>
      <w:r w:rsidRPr="000D4044">
        <w:rPr>
          <w:rFonts w:ascii="Arial" w:hAnsi="Arial" w:cs="Arial"/>
        </w:rPr>
        <w:lastRenderedPageBreak/>
        <w:t>en el 2007, i aquest empitjorament de la situació de pobresa afecta més als menors i als homes.</w:t>
      </w:r>
    </w:p>
    <w:p w:rsidR="00DC3B83" w:rsidRPr="00AD69D5" w:rsidRDefault="00DC3B83" w:rsidP="00AD69D5">
      <w:pPr>
        <w:rPr>
          <w:rFonts w:ascii="Arial" w:hAnsi="Arial" w:cs="Arial"/>
        </w:rPr>
      </w:pPr>
    </w:p>
    <w:p w:rsidR="006D2D6A" w:rsidRPr="006D2D6A" w:rsidRDefault="006D2D6A" w:rsidP="00A25B14">
      <w:pPr>
        <w:spacing w:after="0" w:line="240" w:lineRule="auto"/>
        <w:rPr>
          <w:rFonts w:ascii="Arial" w:hAnsi="Arial" w:cs="Arial"/>
          <w:b/>
          <w:sz w:val="20"/>
          <w:szCs w:val="20"/>
        </w:rPr>
      </w:pPr>
      <w:r w:rsidRPr="006D2D6A">
        <w:rPr>
          <w:rFonts w:ascii="Arial" w:hAnsi="Arial" w:cs="Arial"/>
          <w:b/>
          <w:sz w:val="20"/>
          <w:szCs w:val="20"/>
        </w:rPr>
        <w:t xml:space="preserve">Evolució de la Bretxa del Risc de Pobresa. Catalunya, Espanya i </w:t>
      </w:r>
      <w:r w:rsidR="00707DDA">
        <w:rPr>
          <w:rFonts w:ascii="Arial" w:hAnsi="Arial" w:cs="Arial"/>
          <w:b/>
          <w:sz w:val="20"/>
          <w:szCs w:val="20"/>
        </w:rPr>
        <w:t xml:space="preserve">Unió </w:t>
      </w:r>
      <w:r w:rsidRPr="006D2D6A">
        <w:rPr>
          <w:rFonts w:ascii="Arial" w:hAnsi="Arial" w:cs="Arial"/>
          <w:b/>
          <w:sz w:val="20"/>
          <w:szCs w:val="20"/>
        </w:rPr>
        <w:t>Europ</w:t>
      </w:r>
      <w:r w:rsidR="00707DDA">
        <w:rPr>
          <w:rFonts w:ascii="Arial" w:hAnsi="Arial" w:cs="Arial"/>
          <w:b/>
          <w:sz w:val="20"/>
          <w:szCs w:val="20"/>
        </w:rPr>
        <w:t>ea (%), 2007</w:t>
      </w:r>
      <w:r w:rsidR="00707DDA">
        <w:rPr>
          <w:rFonts w:ascii="Arial" w:hAnsi="Arial" w:cs="Arial"/>
          <w:b/>
          <w:sz w:val="20"/>
          <w:szCs w:val="20"/>
        </w:rPr>
        <w:noBreakHyphen/>
      </w:r>
      <w:r w:rsidRPr="006D2D6A">
        <w:rPr>
          <w:rFonts w:ascii="Arial" w:hAnsi="Arial" w:cs="Arial"/>
          <w:b/>
          <w:sz w:val="20"/>
          <w:szCs w:val="20"/>
        </w:rPr>
        <w:t>2014</w:t>
      </w:r>
    </w:p>
    <w:p w:rsidR="006D2D6A" w:rsidRPr="00A25B14" w:rsidRDefault="006D2D6A" w:rsidP="006D2D6A">
      <w:pPr>
        <w:spacing w:after="0" w:line="240" w:lineRule="auto"/>
        <w:jc w:val="both"/>
        <w:rPr>
          <w:rFonts w:ascii="Arial" w:hAnsi="Arial" w:cs="Arial"/>
          <w:sz w:val="16"/>
          <w:szCs w:val="16"/>
        </w:rPr>
      </w:pPr>
      <w:r w:rsidRPr="00F86DA3">
        <w:rPr>
          <w:rFonts w:ascii="Arial" w:hAnsi="Arial" w:cs="Arial"/>
          <w:noProof/>
          <w:lang w:eastAsia="ca-ES"/>
        </w:rPr>
        <w:drawing>
          <wp:inline distT="0" distB="0" distL="0" distR="0">
            <wp:extent cx="4400550" cy="2543175"/>
            <wp:effectExtent l="19050" t="0" r="19050" b="0"/>
            <wp:docPr id="2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6D2D6A" w:rsidRDefault="006D2D6A" w:rsidP="006D2D6A">
      <w:pPr>
        <w:spacing w:after="0" w:line="240" w:lineRule="auto"/>
        <w:jc w:val="both"/>
        <w:rPr>
          <w:rFonts w:ascii="Arial" w:hAnsi="Arial" w:cs="Arial"/>
          <w:sz w:val="16"/>
          <w:szCs w:val="16"/>
        </w:rPr>
      </w:pPr>
    </w:p>
    <w:p w:rsidR="006D2D6A" w:rsidRPr="000D4044" w:rsidRDefault="006D2D6A" w:rsidP="006D2D6A">
      <w:pPr>
        <w:spacing w:after="0" w:line="240" w:lineRule="auto"/>
        <w:jc w:val="both"/>
        <w:rPr>
          <w:rFonts w:ascii="Arial" w:hAnsi="Arial" w:cs="Arial"/>
          <w:sz w:val="16"/>
          <w:szCs w:val="16"/>
        </w:rPr>
      </w:pPr>
      <w:r>
        <w:rPr>
          <w:rFonts w:ascii="Arial" w:hAnsi="Arial" w:cs="Arial"/>
          <w:sz w:val="16"/>
          <w:szCs w:val="16"/>
        </w:rPr>
        <w:t>Nota: e</w:t>
      </w:r>
      <w:r w:rsidRPr="000D4044">
        <w:rPr>
          <w:rFonts w:ascii="Arial" w:hAnsi="Arial" w:cs="Arial"/>
          <w:sz w:val="16"/>
          <w:szCs w:val="16"/>
        </w:rPr>
        <w:t>n les dades del 201</w:t>
      </w:r>
      <w:r>
        <w:rPr>
          <w:rFonts w:ascii="Arial" w:hAnsi="Arial" w:cs="Arial"/>
          <w:sz w:val="16"/>
          <w:szCs w:val="16"/>
        </w:rPr>
        <w:t>3</w:t>
      </w:r>
      <w:r w:rsidRPr="000D4044">
        <w:rPr>
          <w:rFonts w:ascii="Arial" w:hAnsi="Arial" w:cs="Arial"/>
          <w:sz w:val="16"/>
          <w:szCs w:val="16"/>
        </w:rPr>
        <w:t xml:space="preserve"> de Catalunya i Espanya es produeix una ruptura de sèrie.</w:t>
      </w:r>
    </w:p>
    <w:p w:rsidR="006D2D6A" w:rsidRPr="000D4044" w:rsidRDefault="006D2D6A" w:rsidP="00A25B14">
      <w:pPr>
        <w:spacing w:line="360" w:lineRule="auto"/>
        <w:jc w:val="both"/>
        <w:rPr>
          <w:rFonts w:ascii="Arial" w:hAnsi="Arial" w:cs="Arial"/>
          <w:sz w:val="20"/>
          <w:szCs w:val="20"/>
        </w:rPr>
      </w:pPr>
      <w:r w:rsidRPr="000D4044">
        <w:rPr>
          <w:rFonts w:ascii="Arial" w:hAnsi="Arial" w:cs="Arial"/>
          <w:sz w:val="16"/>
          <w:szCs w:val="16"/>
        </w:rPr>
        <w:t>Font: I</w:t>
      </w:r>
      <w:r>
        <w:rPr>
          <w:rFonts w:ascii="Arial" w:hAnsi="Arial" w:cs="Arial"/>
          <w:sz w:val="16"/>
          <w:szCs w:val="16"/>
        </w:rPr>
        <w:t>descat</w:t>
      </w:r>
      <w:r w:rsidRPr="000D4044">
        <w:rPr>
          <w:rFonts w:ascii="Arial" w:hAnsi="Arial" w:cs="Arial"/>
          <w:sz w:val="16"/>
          <w:szCs w:val="16"/>
        </w:rPr>
        <w:t>.</w:t>
      </w:r>
    </w:p>
    <w:p w:rsidR="006D2D6A" w:rsidRPr="007932F9" w:rsidRDefault="006D2D6A" w:rsidP="00A25B14">
      <w:pPr>
        <w:spacing w:line="360" w:lineRule="auto"/>
        <w:jc w:val="both"/>
        <w:rPr>
          <w:rFonts w:ascii="Arial" w:hAnsi="Arial" w:cs="Arial"/>
        </w:rPr>
      </w:pPr>
    </w:p>
    <w:p w:rsidR="006D2D6A" w:rsidRDefault="006D2D6A" w:rsidP="006D2D6A">
      <w:pPr>
        <w:spacing w:after="0" w:line="240" w:lineRule="auto"/>
        <w:rPr>
          <w:rFonts w:ascii="Arial" w:hAnsi="Arial" w:cs="Arial"/>
          <w:sz w:val="20"/>
          <w:szCs w:val="20"/>
        </w:rPr>
      </w:pPr>
      <w:r w:rsidRPr="006D2D6A">
        <w:rPr>
          <w:rFonts w:ascii="Arial" w:hAnsi="Arial" w:cs="Arial"/>
          <w:b/>
          <w:sz w:val="20"/>
          <w:szCs w:val="20"/>
        </w:rPr>
        <w:t>Evolució de la Bretxa del Risc de Pobresa dels menors de 18 anys. Catal</w:t>
      </w:r>
      <w:r w:rsidR="00B43F2A">
        <w:rPr>
          <w:rFonts w:ascii="Arial" w:hAnsi="Arial" w:cs="Arial"/>
          <w:b/>
          <w:sz w:val="20"/>
          <w:szCs w:val="20"/>
        </w:rPr>
        <w:t>unya (%), 2007</w:t>
      </w:r>
      <w:r w:rsidR="00B43F2A">
        <w:rPr>
          <w:rFonts w:ascii="Arial" w:hAnsi="Arial" w:cs="Arial"/>
          <w:b/>
          <w:sz w:val="20"/>
          <w:szCs w:val="20"/>
        </w:rPr>
        <w:noBreakHyphen/>
      </w:r>
      <w:r w:rsidRPr="006D2D6A">
        <w:rPr>
          <w:rFonts w:ascii="Arial" w:hAnsi="Arial" w:cs="Arial"/>
          <w:b/>
          <w:sz w:val="20"/>
          <w:szCs w:val="20"/>
        </w:rPr>
        <w:t>2014</w:t>
      </w:r>
    </w:p>
    <w:p w:rsidR="006D2D6A" w:rsidRPr="00A25B14" w:rsidRDefault="006D2D6A" w:rsidP="006D2D6A">
      <w:pPr>
        <w:spacing w:after="0" w:line="240" w:lineRule="auto"/>
        <w:jc w:val="both"/>
        <w:rPr>
          <w:rFonts w:ascii="Arial" w:hAnsi="Arial" w:cs="Arial"/>
          <w:sz w:val="16"/>
          <w:szCs w:val="16"/>
        </w:rPr>
      </w:pPr>
      <w:r w:rsidRPr="00B97BD8">
        <w:rPr>
          <w:rFonts w:ascii="Arial" w:hAnsi="Arial" w:cs="Arial"/>
          <w:noProof/>
          <w:sz w:val="20"/>
          <w:szCs w:val="20"/>
          <w:lang w:eastAsia="ca-ES"/>
        </w:rPr>
        <w:drawing>
          <wp:inline distT="0" distB="0" distL="0" distR="0">
            <wp:extent cx="4629150" cy="2600325"/>
            <wp:effectExtent l="19050" t="0" r="19050" b="0"/>
            <wp:docPr id="2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D2D6A" w:rsidRDefault="006D2D6A" w:rsidP="006D2D6A">
      <w:pPr>
        <w:spacing w:after="0" w:line="240" w:lineRule="auto"/>
        <w:jc w:val="both"/>
        <w:rPr>
          <w:rFonts w:ascii="Arial" w:hAnsi="Arial" w:cs="Arial"/>
          <w:sz w:val="16"/>
          <w:szCs w:val="16"/>
        </w:rPr>
      </w:pPr>
    </w:p>
    <w:p w:rsidR="006D2D6A" w:rsidRPr="000D4044" w:rsidRDefault="006D2D6A" w:rsidP="006D2D6A">
      <w:pPr>
        <w:spacing w:after="0" w:line="240" w:lineRule="auto"/>
        <w:jc w:val="both"/>
        <w:rPr>
          <w:rFonts w:ascii="Arial" w:hAnsi="Arial" w:cs="Arial"/>
          <w:sz w:val="16"/>
          <w:szCs w:val="16"/>
        </w:rPr>
      </w:pPr>
      <w:r>
        <w:rPr>
          <w:rFonts w:ascii="Arial" w:hAnsi="Arial" w:cs="Arial"/>
          <w:sz w:val="16"/>
          <w:szCs w:val="16"/>
        </w:rPr>
        <w:t>Nota: e</w:t>
      </w:r>
      <w:r w:rsidRPr="000D4044">
        <w:rPr>
          <w:rFonts w:ascii="Arial" w:hAnsi="Arial" w:cs="Arial"/>
          <w:sz w:val="16"/>
          <w:szCs w:val="16"/>
        </w:rPr>
        <w:t>n les dades del 201</w:t>
      </w:r>
      <w:r>
        <w:rPr>
          <w:rFonts w:ascii="Arial" w:hAnsi="Arial" w:cs="Arial"/>
          <w:sz w:val="16"/>
          <w:szCs w:val="16"/>
        </w:rPr>
        <w:t>3</w:t>
      </w:r>
      <w:r w:rsidRPr="000D4044">
        <w:rPr>
          <w:rFonts w:ascii="Arial" w:hAnsi="Arial" w:cs="Arial"/>
          <w:sz w:val="16"/>
          <w:szCs w:val="16"/>
        </w:rPr>
        <w:t xml:space="preserve"> de Catalunya i Espanya es produeix una ruptura de sèrie.</w:t>
      </w:r>
    </w:p>
    <w:p w:rsidR="006D2D6A" w:rsidRDefault="006D2D6A" w:rsidP="00A25B14">
      <w:pPr>
        <w:spacing w:line="360" w:lineRule="auto"/>
        <w:jc w:val="both"/>
        <w:rPr>
          <w:rFonts w:ascii="Arial" w:hAnsi="Arial" w:cs="Arial"/>
        </w:rPr>
      </w:pPr>
      <w:r w:rsidRPr="000D4044">
        <w:rPr>
          <w:rFonts w:ascii="Arial" w:hAnsi="Arial" w:cs="Arial"/>
          <w:sz w:val="16"/>
          <w:szCs w:val="16"/>
        </w:rPr>
        <w:t>Font: I</w:t>
      </w:r>
      <w:r>
        <w:rPr>
          <w:rFonts w:ascii="Arial" w:hAnsi="Arial" w:cs="Arial"/>
          <w:sz w:val="16"/>
          <w:szCs w:val="16"/>
        </w:rPr>
        <w:t>descat.</w:t>
      </w:r>
    </w:p>
    <w:p w:rsidR="006D2D6A" w:rsidRPr="007932F9" w:rsidRDefault="00DC3B83" w:rsidP="00422AC0">
      <w:pPr>
        <w:spacing w:after="0" w:line="240" w:lineRule="auto"/>
        <w:rPr>
          <w:rFonts w:ascii="Arial" w:hAnsi="Arial" w:cs="Arial"/>
        </w:rPr>
      </w:pPr>
      <w:r>
        <w:rPr>
          <w:rFonts w:ascii="Arial" w:hAnsi="Arial" w:cs="Arial"/>
        </w:rPr>
        <w:br w:type="page"/>
      </w:r>
    </w:p>
    <w:p w:rsidR="006D2D6A" w:rsidRPr="006D2D6A" w:rsidRDefault="006D2D6A" w:rsidP="00A25B14">
      <w:pPr>
        <w:spacing w:after="0" w:line="240" w:lineRule="auto"/>
        <w:rPr>
          <w:rFonts w:ascii="Arial" w:hAnsi="Arial" w:cs="Arial"/>
          <w:b/>
          <w:sz w:val="20"/>
          <w:szCs w:val="20"/>
        </w:rPr>
      </w:pPr>
      <w:r w:rsidRPr="006D2D6A">
        <w:rPr>
          <w:rFonts w:ascii="Arial" w:hAnsi="Arial" w:cs="Arial"/>
          <w:b/>
          <w:sz w:val="20"/>
          <w:szCs w:val="20"/>
        </w:rPr>
        <w:lastRenderedPageBreak/>
        <w:t>Bretxa del Risc de Pobresa per sexe. Catalunya, Espanya i Europa (%), 2014</w:t>
      </w:r>
    </w:p>
    <w:p w:rsidR="006D2D6A" w:rsidRPr="00A25B14" w:rsidRDefault="006D2D6A" w:rsidP="006D2D6A">
      <w:pPr>
        <w:spacing w:after="0" w:line="240" w:lineRule="auto"/>
        <w:jc w:val="both"/>
        <w:rPr>
          <w:rFonts w:ascii="Arial" w:hAnsi="Arial" w:cs="Arial"/>
          <w:sz w:val="16"/>
          <w:szCs w:val="16"/>
        </w:rPr>
      </w:pPr>
      <w:r w:rsidRPr="000D4044">
        <w:rPr>
          <w:rFonts w:ascii="Arial" w:hAnsi="Arial" w:cs="Arial"/>
          <w:noProof/>
          <w:lang w:eastAsia="ca-ES"/>
        </w:rPr>
        <w:drawing>
          <wp:inline distT="0" distB="0" distL="0" distR="0">
            <wp:extent cx="4629150" cy="2743200"/>
            <wp:effectExtent l="19050" t="0" r="19050" b="0"/>
            <wp:docPr id="2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D2D6A" w:rsidRDefault="006D2D6A" w:rsidP="006D2D6A">
      <w:pPr>
        <w:spacing w:after="0" w:line="240" w:lineRule="auto"/>
        <w:jc w:val="both"/>
        <w:rPr>
          <w:rFonts w:ascii="Arial" w:hAnsi="Arial" w:cs="Arial"/>
          <w:sz w:val="16"/>
          <w:szCs w:val="16"/>
        </w:rPr>
      </w:pPr>
    </w:p>
    <w:p w:rsidR="006D2D6A" w:rsidRPr="000D4044" w:rsidRDefault="006D2D6A" w:rsidP="00A25B14">
      <w:pPr>
        <w:spacing w:line="360" w:lineRule="auto"/>
        <w:jc w:val="both"/>
        <w:rPr>
          <w:rFonts w:ascii="Arial" w:hAnsi="Arial" w:cs="Arial"/>
          <w:sz w:val="20"/>
          <w:szCs w:val="20"/>
        </w:rPr>
      </w:pPr>
      <w:r w:rsidRPr="000D4044">
        <w:rPr>
          <w:rFonts w:ascii="Arial" w:hAnsi="Arial" w:cs="Arial"/>
          <w:sz w:val="16"/>
          <w:szCs w:val="16"/>
        </w:rPr>
        <w:t>Font: I</w:t>
      </w:r>
      <w:r>
        <w:rPr>
          <w:rFonts w:ascii="Arial" w:hAnsi="Arial" w:cs="Arial"/>
          <w:sz w:val="16"/>
          <w:szCs w:val="16"/>
        </w:rPr>
        <w:t>descat</w:t>
      </w:r>
    </w:p>
    <w:p w:rsidR="00AD69D5" w:rsidRDefault="00AD69D5" w:rsidP="00A25B14">
      <w:pPr>
        <w:spacing w:line="360" w:lineRule="auto"/>
        <w:jc w:val="both"/>
        <w:rPr>
          <w:rFonts w:ascii="Arial" w:hAnsi="Arial" w:cs="Arial"/>
          <w:b/>
          <w:sz w:val="24"/>
          <w:szCs w:val="24"/>
        </w:rPr>
      </w:pPr>
    </w:p>
    <w:p w:rsidR="00007822" w:rsidRPr="00072897" w:rsidRDefault="00820FBC" w:rsidP="00220E83">
      <w:pPr>
        <w:jc w:val="both"/>
        <w:rPr>
          <w:rFonts w:ascii="Arial" w:hAnsi="Arial" w:cs="Arial"/>
          <w:b/>
          <w:sz w:val="24"/>
          <w:szCs w:val="24"/>
        </w:rPr>
      </w:pPr>
      <w:r>
        <w:rPr>
          <w:rFonts w:ascii="Arial" w:hAnsi="Arial" w:cs="Arial"/>
          <w:b/>
          <w:sz w:val="24"/>
          <w:szCs w:val="24"/>
        </w:rPr>
        <w:t>6</w:t>
      </w:r>
      <w:r w:rsidR="00440A21" w:rsidRPr="00A83FB2">
        <w:rPr>
          <w:rFonts w:ascii="Arial" w:hAnsi="Arial" w:cs="Arial"/>
          <w:b/>
          <w:sz w:val="24"/>
          <w:szCs w:val="24"/>
        </w:rPr>
        <w:t>.</w:t>
      </w:r>
      <w:r w:rsidR="00775DD0">
        <w:rPr>
          <w:rFonts w:ascii="Arial" w:hAnsi="Arial" w:cs="Arial"/>
          <w:b/>
          <w:sz w:val="24"/>
          <w:szCs w:val="24"/>
        </w:rPr>
        <w:t>3</w:t>
      </w:r>
      <w:r w:rsidR="00007822">
        <w:rPr>
          <w:rFonts w:ascii="Arial" w:hAnsi="Arial" w:cs="Arial"/>
          <w:b/>
          <w:sz w:val="24"/>
          <w:szCs w:val="24"/>
        </w:rPr>
        <w:t>.</w:t>
      </w:r>
      <w:r w:rsidR="00440A21" w:rsidRPr="00A83FB2">
        <w:rPr>
          <w:rFonts w:ascii="Arial" w:hAnsi="Arial" w:cs="Arial"/>
          <w:b/>
          <w:sz w:val="24"/>
          <w:szCs w:val="24"/>
        </w:rPr>
        <w:t xml:space="preserve"> Evolució </w:t>
      </w:r>
      <w:r w:rsidR="00007822">
        <w:rPr>
          <w:rFonts w:ascii="Arial" w:hAnsi="Arial" w:cs="Arial"/>
          <w:b/>
          <w:sz w:val="24"/>
          <w:szCs w:val="24"/>
        </w:rPr>
        <w:t xml:space="preserve">de les </w:t>
      </w:r>
      <w:r w:rsidR="00440A21" w:rsidRPr="00A83FB2">
        <w:rPr>
          <w:rFonts w:ascii="Arial" w:hAnsi="Arial" w:cs="Arial"/>
          <w:b/>
          <w:sz w:val="24"/>
          <w:szCs w:val="24"/>
        </w:rPr>
        <w:t>rendes salarials</w:t>
      </w:r>
    </w:p>
    <w:p w:rsidR="00417A95" w:rsidRDefault="00496C84" w:rsidP="00220E83">
      <w:pPr>
        <w:jc w:val="both"/>
        <w:rPr>
          <w:rFonts w:ascii="Arial" w:hAnsi="Arial" w:cs="Arial"/>
        </w:rPr>
      </w:pPr>
      <w:r>
        <w:rPr>
          <w:rFonts w:ascii="Arial" w:hAnsi="Arial" w:cs="Arial"/>
        </w:rPr>
        <w:t>Com ja s’indicava en l’anterior informe, u</w:t>
      </w:r>
      <w:r w:rsidR="00A251F3" w:rsidRPr="00A251F3">
        <w:rPr>
          <w:rFonts w:ascii="Arial" w:hAnsi="Arial" w:cs="Arial"/>
        </w:rPr>
        <w:t xml:space="preserve">n dels </w:t>
      </w:r>
      <w:r w:rsidR="00A251F3">
        <w:rPr>
          <w:rFonts w:ascii="Arial" w:hAnsi="Arial" w:cs="Arial"/>
        </w:rPr>
        <w:t>factors determinants d</w:t>
      </w:r>
      <w:r w:rsidR="00A251F3" w:rsidRPr="00A251F3">
        <w:rPr>
          <w:rFonts w:ascii="Arial" w:hAnsi="Arial" w:cs="Arial"/>
        </w:rPr>
        <w:t>el creixement de les desigualtats tant a Catalunya com a Espanya ha estat la pèrdua de pes de les rendes sal</w:t>
      </w:r>
      <w:r w:rsidR="00A251F3">
        <w:rPr>
          <w:rFonts w:ascii="Arial" w:hAnsi="Arial" w:cs="Arial"/>
        </w:rPr>
        <w:t>a</w:t>
      </w:r>
      <w:r w:rsidR="00A251F3" w:rsidRPr="00A251F3">
        <w:rPr>
          <w:rFonts w:ascii="Arial" w:hAnsi="Arial" w:cs="Arial"/>
        </w:rPr>
        <w:t>ria</w:t>
      </w:r>
      <w:r w:rsidR="00A251F3">
        <w:rPr>
          <w:rFonts w:ascii="Arial" w:hAnsi="Arial" w:cs="Arial"/>
        </w:rPr>
        <w:t>l</w:t>
      </w:r>
      <w:r w:rsidR="00A251F3" w:rsidRPr="00A251F3">
        <w:rPr>
          <w:rFonts w:ascii="Arial" w:hAnsi="Arial" w:cs="Arial"/>
        </w:rPr>
        <w:t>s en la distribució de la renda generada en el</w:t>
      </w:r>
      <w:r w:rsidR="00A251F3">
        <w:rPr>
          <w:rFonts w:ascii="Arial" w:hAnsi="Arial" w:cs="Arial"/>
        </w:rPr>
        <w:t>s processos de producci</w:t>
      </w:r>
      <w:r w:rsidR="00CD74DB">
        <w:rPr>
          <w:rFonts w:ascii="Arial" w:hAnsi="Arial" w:cs="Arial"/>
        </w:rPr>
        <w:t>ó interns</w:t>
      </w:r>
      <w:r w:rsidR="00FB35EC">
        <w:rPr>
          <w:rStyle w:val="Refdenotaalpie"/>
          <w:rFonts w:ascii="Arial" w:hAnsi="Arial" w:cs="Arial"/>
        </w:rPr>
        <w:footnoteReference w:id="13"/>
      </w:r>
      <w:r w:rsidR="00D02DBD">
        <w:rPr>
          <w:rFonts w:ascii="Arial" w:hAnsi="Arial" w:cs="Arial"/>
        </w:rPr>
        <w:t>.</w:t>
      </w:r>
    </w:p>
    <w:p w:rsidR="00A71327" w:rsidRDefault="00417A95" w:rsidP="00220E83">
      <w:pPr>
        <w:jc w:val="both"/>
        <w:rPr>
          <w:rFonts w:ascii="Arial" w:hAnsi="Arial" w:cs="Arial"/>
        </w:rPr>
      </w:pPr>
      <w:r>
        <w:rPr>
          <w:rFonts w:ascii="Arial" w:hAnsi="Arial" w:cs="Arial"/>
        </w:rPr>
        <w:t xml:space="preserve">Aquesta pèrdua significa que una proporció cada vegada més reduïda de la renda generada es canalitza cap a les famílies a través de les rendes salarials, component </w:t>
      </w:r>
      <w:r w:rsidR="00901A72">
        <w:rPr>
          <w:rFonts w:ascii="Arial" w:hAnsi="Arial" w:cs="Arial"/>
        </w:rPr>
        <w:t>m</w:t>
      </w:r>
      <w:r>
        <w:rPr>
          <w:rFonts w:ascii="Arial" w:hAnsi="Arial" w:cs="Arial"/>
        </w:rPr>
        <w:t>és ben distribuït</w:t>
      </w:r>
      <w:r w:rsidR="00901A72">
        <w:rPr>
          <w:rFonts w:ascii="Arial" w:hAnsi="Arial" w:cs="Arial"/>
        </w:rPr>
        <w:t>, des d’una perspectiva de l’equitat,</w:t>
      </w:r>
      <w:r>
        <w:rPr>
          <w:rFonts w:ascii="Arial" w:hAnsi="Arial" w:cs="Arial"/>
        </w:rPr>
        <w:t xml:space="preserve"> qu</w:t>
      </w:r>
      <w:r w:rsidR="00200B9B">
        <w:rPr>
          <w:rFonts w:ascii="Arial" w:hAnsi="Arial" w:cs="Arial"/>
        </w:rPr>
        <w:t xml:space="preserve">e el de les rendes no salarials, i </w:t>
      </w:r>
      <w:r w:rsidR="00901A72">
        <w:rPr>
          <w:rFonts w:ascii="Arial" w:hAnsi="Arial" w:cs="Arial"/>
        </w:rPr>
        <w:t xml:space="preserve">que </w:t>
      </w:r>
      <w:r w:rsidR="00200B9B">
        <w:rPr>
          <w:rFonts w:ascii="Arial" w:hAnsi="Arial" w:cs="Arial"/>
        </w:rPr>
        <w:t>significa una apropiació de la renda més intensa a través de les rendes del capital.</w:t>
      </w:r>
    </w:p>
    <w:p w:rsidR="00200B9B" w:rsidRDefault="00594001" w:rsidP="00220E83">
      <w:pPr>
        <w:jc w:val="both"/>
        <w:rPr>
          <w:rFonts w:ascii="Arial" w:hAnsi="Arial" w:cs="Arial"/>
        </w:rPr>
      </w:pPr>
      <w:r>
        <w:rPr>
          <w:rFonts w:ascii="Arial" w:hAnsi="Arial" w:cs="Arial"/>
        </w:rPr>
        <w:t xml:space="preserve">Després d’una recuperació </w:t>
      </w:r>
      <w:r w:rsidR="00C50C74">
        <w:rPr>
          <w:rFonts w:ascii="Arial" w:hAnsi="Arial" w:cs="Arial"/>
        </w:rPr>
        <w:t xml:space="preserve">inicial </w:t>
      </w:r>
      <w:r>
        <w:rPr>
          <w:rFonts w:ascii="Arial" w:hAnsi="Arial" w:cs="Arial"/>
        </w:rPr>
        <w:t>del pes de les rendes salarials en</w:t>
      </w:r>
      <w:r w:rsidR="00D83E2A">
        <w:rPr>
          <w:rFonts w:ascii="Arial" w:hAnsi="Arial" w:cs="Arial"/>
        </w:rPr>
        <w:t xml:space="preserve"> el dos primers anys de crisi</w:t>
      </w:r>
      <w:r w:rsidR="00C50C74">
        <w:rPr>
          <w:rFonts w:ascii="Arial" w:hAnsi="Arial" w:cs="Arial"/>
        </w:rPr>
        <w:t xml:space="preserve"> (2007-2009)</w:t>
      </w:r>
      <w:r w:rsidR="00496C84">
        <w:rPr>
          <w:rFonts w:ascii="Arial" w:hAnsi="Arial" w:cs="Arial"/>
        </w:rPr>
        <w:t>,</w:t>
      </w:r>
      <w:r w:rsidR="00C50C74">
        <w:rPr>
          <w:rFonts w:ascii="Arial" w:hAnsi="Arial" w:cs="Arial"/>
        </w:rPr>
        <w:t xml:space="preserve"> </w:t>
      </w:r>
      <w:r w:rsidR="00200B9B">
        <w:rPr>
          <w:rFonts w:ascii="Arial" w:hAnsi="Arial" w:cs="Arial"/>
        </w:rPr>
        <w:t>a partir del 2010 s’intensifica el procés de pèrdua de pes relatiu de les rendes salarials en la distribució de la renda que ja estava tenint lloc en l’economia catalana i espanyola en la darrera fase de creixement econò</w:t>
      </w:r>
      <w:r w:rsidR="00594555">
        <w:rPr>
          <w:rFonts w:ascii="Arial" w:hAnsi="Arial" w:cs="Arial"/>
        </w:rPr>
        <w:t>mic entre els anys 1997 i 200</w:t>
      </w:r>
      <w:r w:rsidR="00496C84">
        <w:rPr>
          <w:rFonts w:ascii="Arial" w:hAnsi="Arial" w:cs="Arial"/>
        </w:rPr>
        <w:t>7</w:t>
      </w:r>
      <w:r w:rsidR="00594555">
        <w:rPr>
          <w:rFonts w:ascii="Arial" w:hAnsi="Arial" w:cs="Arial"/>
        </w:rPr>
        <w:t>.</w:t>
      </w:r>
    </w:p>
    <w:p w:rsidR="00594001" w:rsidRDefault="00D4357D" w:rsidP="00220E83">
      <w:pPr>
        <w:jc w:val="both"/>
        <w:rPr>
          <w:rFonts w:ascii="Arial" w:hAnsi="Arial" w:cs="Arial"/>
        </w:rPr>
      </w:pPr>
      <w:r>
        <w:rPr>
          <w:rFonts w:ascii="Arial" w:hAnsi="Arial" w:cs="Arial"/>
        </w:rPr>
        <w:t>L’augment inicial del pes de les rendes sal</w:t>
      </w:r>
      <w:r w:rsidR="00901A72">
        <w:rPr>
          <w:rFonts w:ascii="Arial" w:hAnsi="Arial" w:cs="Arial"/>
        </w:rPr>
        <w:t>a</w:t>
      </w:r>
      <w:r>
        <w:rPr>
          <w:rFonts w:ascii="Arial" w:hAnsi="Arial" w:cs="Arial"/>
        </w:rPr>
        <w:t>rials</w:t>
      </w:r>
      <w:r w:rsidR="00901A72">
        <w:rPr>
          <w:rStyle w:val="Refdenotaalpie"/>
          <w:rFonts w:ascii="Arial" w:hAnsi="Arial" w:cs="Arial"/>
        </w:rPr>
        <w:footnoteReference w:id="14"/>
      </w:r>
      <w:r w:rsidR="00496C84">
        <w:rPr>
          <w:rFonts w:ascii="Arial" w:hAnsi="Arial" w:cs="Arial"/>
        </w:rPr>
        <w:t xml:space="preserve"> </w:t>
      </w:r>
      <w:r w:rsidR="00D83E2A">
        <w:rPr>
          <w:rFonts w:ascii="Arial" w:hAnsi="Arial" w:cs="Arial"/>
        </w:rPr>
        <w:t>quan esclata la crisi</w:t>
      </w:r>
      <w:r w:rsidR="00901A72">
        <w:rPr>
          <w:rFonts w:ascii="Arial" w:hAnsi="Arial" w:cs="Arial"/>
        </w:rPr>
        <w:t xml:space="preserve"> resp</w:t>
      </w:r>
      <w:r w:rsidR="000F1914">
        <w:rPr>
          <w:rFonts w:ascii="Arial" w:hAnsi="Arial" w:cs="Arial"/>
        </w:rPr>
        <w:t>o</w:t>
      </w:r>
      <w:r w:rsidR="00901A72">
        <w:rPr>
          <w:rFonts w:ascii="Arial" w:hAnsi="Arial" w:cs="Arial"/>
        </w:rPr>
        <w:t xml:space="preserve">n, no a un augment dels salaris individuals, si no a una </w:t>
      </w:r>
      <w:r w:rsidR="00C50C74">
        <w:rPr>
          <w:rFonts w:ascii="Arial" w:hAnsi="Arial" w:cs="Arial"/>
        </w:rPr>
        <w:t xml:space="preserve">molt elevada destrucció d’ocupació concentrada en llocs de treball amb pitjors remuneracions </w:t>
      </w:r>
      <w:r w:rsidR="00200B9B">
        <w:rPr>
          <w:rFonts w:ascii="Arial" w:hAnsi="Arial" w:cs="Arial"/>
        </w:rPr>
        <w:t>al</w:t>
      </w:r>
      <w:r w:rsidR="00901A72">
        <w:rPr>
          <w:rFonts w:ascii="Arial" w:hAnsi="Arial" w:cs="Arial"/>
        </w:rPr>
        <w:t>t</w:t>
      </w:r>
      <w:r w:rsidR="00200B9B">
        <w:rPr>
          <w:rFonts w:ascii="Arial" w:hAnsi="Arial" w:cs="Arial"/>
        </w:rPr>
        <w:t>erant la composició dels llocs de tr</w:t>
      </w:r>
      <w:r w:rsidR="00901A72">
        <w:rPr>
          <w:rFonts w:ascii="Arial" w:hAnsi="Arial" w:cs="Arial"/>
        </w:rPr>
        <w:t>e</w:t>
      </w:r>
      <w:r w:rsidR="00200B9B">
        <w:rPr>
          <w:rFonts w:ascii="Arial" w:hAnsi="Arial" w:cs="Arial"/>
        </w:rPr>
        <w:t xml:space="preserve">ball cap als </w:t>
      </w:r>
      <w:r w:rsidR="000F1914">
        <w:rPr>
          <w:rFonts w:ascii="Arial" w:hAnsi="Arial" w:cs="Arial"/>
        </w:rPr>
        <w:t>de remuneracions més elevades</w:t>
      </w:r>
      <w:r w:rsidR="00200B9B">
        <w:rPr>
          <w:rFonts w:ascii="Arial" w:hAnsi="Arial" w:cs="Arial"/>
        </w:rPr>
        <w:t>. A m</w:t>
      </w:r>
      <w:r w:rsidR="00901A72">
        <w:rPr>
          <w:rFonts w:ascii="Arial" w:hAnsi="Arial" w:cs="Arial"/>
        </w:rPr>
        <w:t>é</w:t>
      </w:r>
      <w:r w:rsidR="00200B9B">
        <w:rPr>
          <w:rFonts w:ascii="Arial" w:hAnsi="Arial" w:cs="Arial"/>
        </w:rPr>
        <w:t>s</w:t>
      </w:r>
      <w:r w:rsidR="00901A72">
        <w:rPr>
          <w:rFonts w:ascii="Arial" w:hAnsi="Arial" w:cs="Arial"/>
        </w:rPr>
        <w:t>,</w:t>
      </w:r>
      <w:r w:rsidR="00200B9B">
        <w:rPr>
          <w:rFonts w:ascii="Arial" w:hAnsi="Arial" w:cs="Arial"/>
        </w:rPr>
        <w:t xml:space="preserve"> la caiguda inicial dels </w:t>
      </w:r>
      <w:r w:rsidR="000F1914">
        <w:rPr>
          <w:rFonts w:ascii="Arial" w:hAnsi="Arial" w:cs="Arial"/>
        </w:rPr>
        <w:lastRenderedPageBreak/>
        <w:t>benefici</w:t>
      </w:r>
      <w:smartTag w:uri="urn:schemas-microsoft-com:office:smarttags" w:element="PersonName">
        <w:r w:rsidR="000F1914">
          <w:rPr>
            <w:rFonts w:ascii="Arial" w:hAnsi="Arial" w:cs="Arial"/>
          </w:rPr>
          <w:t>s</w:t>
        </w:r>
        <w:r w:rsidR="00200B9B">
          <w:rPr>
            <w:rFonts w:ascii="Arial" w:hAnsi="Arial" w:cs="Arial"/>
          </w:rPr>
          <w:t xml:space="preserve"> e</w:t>
        </w:r>
      </w:smartTag>
      <w:r w:rsidR="00200B9B">
        <w:rPr>
          <w:rFonts w:ascii="Arial" w:hAnsi="Arial" w:cs="Arial"/>
        </w:rPr>
        <w:t>n els sectors més sensibles a la cris</w:t>
      </w:r>
      <w:r w:rsidR="00D83E2A">
        <w:rPr>
          <w:rFonts w:ascii="Arial" w:hAnsi="Arial" w:cs="Arial"/>
        </w:rPr>
        <w:t>i</w:t>
      </w:r>
      <w:r w:rsidR="00901A72">
        <w:rPr>
          <w:rFonts w:ascii="Arial" w:hAnsi="Arial" w:cs="Arial"/>
        </w:rPr>
        <w:t xml:space="preserve"> (constru</w:t>
      </w:r>
      <w:r w:rsidR="00200B9B">
        <w:rPr>
          <w:rFonts w:ascii="Arial" w:hAnsi="Arial" w:cs="Arial"/>
        </w:rPr>
        <w:t>cció, i finances) lligat al caràcter plurianual de la major</w:t>
      </w:r>
      <w:r w:rsidR="004F310F">
        <w:rPr>
          <w:rFonts w:ascii="Arial" w:hAnsi="Arial" w:cs="Arial"/>
        </w:rPr>
        <w:t xml:space="preserve">ia </w:t>
      </w:r>
      <w:r w:rsidR="00200B9B">
        <w:rPr>
          <w:rFonts w:ascii="Arial" w:hAnsi="Arial" w:cs="Arial"/>
        </w:rPr>
        <w:t>del</w:t>
      </w:r>
      <w:r w:rsidR="004F310F">
        <w:rPr>
          <w:rFonts w:ascii="Arial" w:hAnsi="Arial" w:cs="Arial"/>
        </w:rPr>
        <w:t>s</w:t>
      </w:r>
      <w:r w:rsidR="00200B9B">
        <w:rPr>
          <w:rFonts w:ascii="Arial" w:hAnsi="Arial" w:cs="Arial"/>
        </w:rPr>
        <w:t xml:space="preserve"> convenis col</w:t>
      </w:r>
      <w:r w:rsidR="00901A72">
        <w:rPr>
          <w:rFonts w:ascii="Arial" w:hAnsi="Arial" w:cs="Arial"/>
        </w:rPr>
        <w:t>·l</w:t>
      </w:r>
      <w:r w:rsidR="00200B9B">
        <w:rPr>
          <w:rFonts w:ascii="Arial" w:hAnsi="Arial" w:cs="Arial"/>
        </w:rPr>
        <w:t>ectius,</w:t>
      </w:r>
      <w:r w:rsidR="00901A72">
        <w:rPr>
          <w:rFonts w:ascii="Arial" w:hAnsi="Arial" w:cs="Arial"/>
        </w:rPr>
        <w:t xml:space="preserve"> així</w:t>
      </w:r>
      <w:r w:rsidR="00200B9B">
        <w:rPr>
          <w:rFonts w:ascii="Arial" w:hAnsi="Arial" w:cs="Arial"/>
        </w:rPr>
        <w:t xml:space="preserve"> com l’augment de les indemnitzacions associades a la destrucció d’ocupació</w:t>
      </w:r>
      <w:r w:rsidR="00901A72">
        <w:rPr>
          <w:rFonts w:ascii="Arial" w:hAnsi="Arial" w:cs="Arial"/>
        </w:rPr>
        <w:t xml:space="preserve"> expliquen també aquest increment del pes de les rendes salarials.</w:t>
      </w:r>
    </w:p>
    <w:p w:rsidR="00E848CD" w:rsidRDefault="00901A72" w:rsidP="00220E83">
      <w:pPr>
        <w:jc w:val="both"/>
        <w:rPr>
          <w:rFonts w:ascii="Arial" w:hAnsi="Arial" w:cs="Arial"/>
        </w:rPr>
      </w:pPr>
      <w:r>
        <w:rPr>
          <w:rFonts w:ascii="Arial" w:hAnsi="Arial" w:cs="Arial"/>
        </w:rPr>
        <w:t>A partir del 2010,</w:t>
      </w:r>
      <w:r w:rsidR="00496C84">
        <w:rPr>
          <w:rFonts w:ascii="Arial" w:hAnsi="Arial" w:cs="Arial"/>
        </w:rPr>
        <w:t xml:space="preserve"> </w:t>
      </w:r>
      <w:r>
        <w:rPr>
          <w:rFonts w:ascii="Arial" w:hAnsi="Arial" w:cs="Arial"/>
        </w:rPr>
        <w:t>l’impacte de les reformes laborals, la reforma de la negoci</w:t>
      </w:r>
      <w:r w:rsidR="002D3A25">
        <w:rPr>
          <w:rFonts w:ascii="Arial" w:hAnsi="Arial" w:cs="Arial"/>
        </w:rPr>
        <w:t>a</w:t>
      </w:r>
      <w:r>
        <w:rPr>
          <w:rFonts w:ascii="Arial" w:hAnsi="Arial" w:cs="Arial"/>
        </w:rPr>
        <w:t>ció col·lectiva, les retallades salarials en la funció pública, i les polít</w:t>
      </w:r>
      <w:r w:rsidR="002D3A25">
        <w:rPr>
          <w:rFonts w:ascii="Arial" w:hAnsi="Arial" w:cs="Arial"/>
        </w:rPr>
        <w:t>i</w:t>
      </w:r>
      <w:r>
        <w:rPr>
          <w:rFonts w:ascii="Arial" w:hAnsi="Arial" w:cs="Arial"/>
        </w:rPr>
        <w:t>q</w:t>
      </w:r>
      <w:r w:rsidR="002D3A25">
        <w:rPr>
          <w:rFonts w:ascii="Arial" w:hAnsi="Arial" w:cs="Arial"/>
        </w:rPr>
        <w:t>u</w:t>
      </w:r>
      <w:r>
        <w:rPr>
          <w:rFonts w:ascii="Arial" w:hAnsi="Arial" w:cs="Arial"/>
        </w:rPr>
        <w:t>es d</w:t>
      </w:r>
      <w:r w:rsidR="002D3A25">
        <w:rPr>
          <w:rFonts w:ascii="Arial" w:hAnsi="Arial" w:cs="Arial"/>
        </w:rPr>
        <w:t>e retallades conjuntament amb la creixent pressió de l’augment sostingut de la població aturada</w:t>
      </w:r>
      <w:r w:rsidR="00931C90">
        <w:rPr>
          <w:rFonts w:ascii="Arial" w:hAnsi="Arial" w:cs="Arial"/>
        </w:rPr>
        <w:t xml:space="preserve">, </w:t>
      </w:r>
      <w:r w:rsidR="002D3A25">
        <w:rPr>
          <w:rFonts w:ascii="Arial" w:hAnsi="Arial" w:cs="Arial"/>
        </w:rPr>
        <w:t>s’ha</w:t>
      </w:r>
      <w:r w:rsidR="00D96131">
        <w:rPr>
          <w:rFonts w:ascii="Arial" w:hAnsi="Arial" w:cs="Arial"/>
        </w:rPr>
        <w:t>n</w:t>
      </w:r>
      <w:r w:rsidR="002D3A25">
        <w:rPr>
          <w:rFonts w:ascii="Arial" w:hAnsi="Arial" w:cs="Arial"/>
        </w:rPr>
        <w:t xml:space="preserve"> traduït en una forta caiguda de la proporció que </w:t>
      </w:r>
      <w:r w:rsidR="0039553C">
        <w:rPr>
          <w:rFonts w:ascii="Arial" w:hAnsi="Arial" w:cs="Arial"/>
        </w:rPr>
        <w:t xml:space="preserve">en termes mitjans obté cada assalariat de cada euro generat </w:t>
      </w:r>
      <w:r w:rsidR="00D96131">
        <w:rPr>
          <w:rFonts w:ascii="Arial" w:hAnsi="Arial" w:cs="Arial"/>
        </w:rPr>
        <w:t xml:space="preserve">per ocupat, </w:t>
      </w:r>
      <w:r w:rsidR="0039553C">
        <w:rPr>
          <w:rFonts w:ascii="Arial" w:hAnsi="Arial" w:cs="Arial"/>
        </w:rPr>
        <w:t>que conjuntament a la lleugera reducció de la taxa d’assalarització, ex</w:t>
      </w:r>
      <w:r w:rsidR="00D96131">
        <w:rPr>
          <w:rFonts w:ascii="Arial" w:hAnsi="Arial" w:cs="Arial"/>
        </w:rPr>
        <w:t>p</w:t>
      </w:r>
      <w:r w:rsidR="0039553C">
        <w:rPr>
          <w:rFonts w:ascii="Arial" w:hAnsi="Arial" w:cs="Arial"/>
        </w:rPr>
        <w:t>liquen la caiguda de la participació de les rendes salarials en el PIB</w:t>
      </w:r>
      <w:r w:rsidR="0039553C">
        <w:rPr>
          <w:rStyle w:val="Refdenotaalpie"/>
          <w:rFonts w:ascii="Arial" w:hAnsi="Arial" w:cs="Arial"/>
        </w:rPr>
        <w:footnoteReference w:id="15"/>
      </w:r>
      <w:r w:rsidR="00B777FC">
        <w:rPr>
          <w:rFonts w:ascii="Arial" w:hAnsi="Arial" w:cs="Arial"/>
        </w:rPr>
        <w:t>.</w:t>
      </w:r>
    </w:p>
    <w:p w:rsidR="0039553C" w:rsidRDefault="0039553C" w:rsidP="00220E83">
      <w:pPr>
        <w:jc w:val="both"/>
        <w:rPr>
          <w:rFonts w:ascii="Arial" w:hAnsi="Arial" w:cs="Arial"/>
        </w:rPr>
      </w:pPr>
      <w:r>
        <w:rPr>
          <w:rFonts w:ascii="Arial" w:hAnsi="Arial" w:cs="Arial"/>
        </w:rPr>
        <w:t>En el cas de Catalunya</w:t>
      </w:r>
      <w:r w:rsidR="00931C90">
        <w:rPr>
          <w:rFonts w:ascii="Arial" w:hAnsi="Arial" w:cs="Arial"/>
        </w:rPr>
        <w:t>,</w:t>
      </w:r>
      <w:r>
        <w:rPr>
          <w:rFonts w:ascii="Arial" w:hAnsi="Arial" w:cs="Arial"/>
        </w:rPr>
        <w:t xml:space="preserve"> entre els anys 2007-20</w:t>
      </w:r>
      <w:r w:rsidR="00D96131">
        <w:rPr>
          <w:rFonts w:ascii="Arial" w:hAnsi="Arial" w:cs="Arial"/>
        </w:rPr>
        <w:t>1</w:t>
      </w:r>
      <w:r w:rsidR="00E368B6">
        <w:rPr>
          <w:rFonts w:ascii="Arial" w:hAnsi="Arial" w:cs="Arial"/>
        </w:rPr>
        <w:t>3</w:t>
      </w:r>
      <w:r>
        <w:rPr>
          <w:rFonts w:ascii="Arial" w:hAnsi="Arial" w:cs="Arial"/>
        </w:rPr>
        <w:t xml:space="preserve"> la participació de les rendes sal</w:t>
      </w:r>
      <w:r w:rsidR="00D96131">
        <w:rPr>
          <w:rFonts w:ascii="Arial" w:hAnsi="Arial" w:cs="Arial"/>
        </w:rPr>
        <w:t>a</w:t>
      </w:r>
      <w:r>
        <w:rPr>
          <w:rFonts w:ascii="Arial" w:hAnsi="Arial" w:cs="Arial"/>
        </w:rPr>
        <w:t>ria</w:t>
      </w:r>
      <w:r w:rsidR="00D96131">
        <w:rPr>
          <w:rFonts w:ascii="Arial" w:hAnsi="Arial" w:cs="Arial"/>
        </w:rPr>
        <w:t>l</w:t>
      </w:r>
      <w:r>
        <w:rPr>
          <w:rFonts w:ascii="Arial" w:hAnsi="Arial" w:cs="Arial"/>
        </w:rPr>
        <w:t>s sobre el PIB</w:t>
      </w:r>
      <w:r w:rsidR="00D96131">
        <w:rPr>
          <w:rFonts w:ascii="Arial" w:hAnsi="Arial" w:cs="Arial"/>
        </w:rPr>
        <w:t xml:space="preserve"> a cost de factors</w:t>
      </w:r>
      <w:r w:rsidR="00E368B6">
        <w:rPr>
          <w:rFonts w:ascii="Arial" w:hAnsi="Arial" w:cs="Arial"/>
        </w:rPr>
        <w:t xml:space="preserve"> cau un -5,3</w:t>
      </w:r>
      <w:r>
        <w:rPr>
          <w:rFonts w:ascii="Arial" w:hAnsi="Arial" w:cs="Arial"/>
        </w:rPr>
        <w:t>%, que s’explica en més d’un 8</w:t>
      </w:r>
      <w:r w:rsidR="00E368B6">
        <w:rPr>
          <w:rFonts w:ascii="Arial" w:hAnsi="Arial" w:cs="Arial"/>
        </w:rPr>
        <w:t>7</w:t>
      </w:r>
      <w:r>
        <w:rPr>
          <w:rFonts w:ascii="Arial" w:hAnsi="Arial" w:cs="Arial"/>
        </w:rPr>
        <w:t xml:space="preserve">% </w:t>
      </w:r>
      <w:r w:rsidR="00D96131">
        <w:rPr>
          <w:rFonts w:ascii="Arial" w:hAnsi="Arial" w:cs="Arial"/>
        </w:rPr>
        <w:t>per</w:t>
      </w:r>
      <w:r>
        <w:rPr>
          <w:rFonts w:ascii="Arial" w:hAnsi="Arial" w:cs="Arial"/>
        </w:rPr>
        <w:t xml:space="preserve"> la caiguda del -4,6% de la part que cada assalariat obté de cada euro generat per ocupat, i en menor mesura, per sota del </w:t>
      </w:r>
      <w:r w:rsidR="00E368B6">
        <w:rPr>
          <w:rFonts w:ascii="Arial" w:hAnsi="Arial" w:cs="Arial"/>
        </w:rPr>
        <w:t>15</w:t>
      </w:r>
      <w:r>
        <w:rPr>
          <w:rFonts w:ascii="Arial" w:hAnsi="Arial" w:cs="Arial"/>
        </w:rPr>
        <w:t>%, de la reducció del -</w:t>
      </w:r>
      <w:r w:rsidR="00E368B6">
        <w:rPr>
          <w:rFonts w:ascii="Arial" w:hAnsi="Arial" w:cs="Arial"/>
        </w:rPr>
        <w:t>0</w:t>
      </w:r>
      <w:r>
        <w:rPr>
          <w:rFonts w:ascii="Arial" w:hAnsi="Arial" w:cs="Arial"/>
        </w:rPr>
        <w:t>,</w:t>
      </w:r>
      <w:r w:rsidR="00E368B6">
        <w:rPr>
          <w:rFonts w:ascii="Arial" w:hAnsi="Arial" w:cs="Arial"/>
        </w:rPr>
        <w:t>7</w:t>
      </w:r>
      <w:r>
        <w:rPr>
          <w:rFonts w:ascii="Arial" w:hAnsi="Arial" w:cs="Arial"/>
        </w:rPr>
        <w:t>% de la taxa d’assalarització co</w:t>
      </w:r>
      <w:r w:rsidR="00D96131">
        <w:rPr>
          <w:rFonts w:ascii="Arial" w:hAnsi="Arial" w:cs="Arial"/>
        </w:rPr>
        <w:t>m</w:t>
      </w:r>
      <w:r>
        <w:rPr>
          <w:rFonts w:ascii="Arial" w:hAnsi="Arial" w:cs="Arial"/>
        </w:rPr>
        <w:t xml:space="preserve"> a co</w:t>
      </w:r>
      <w:r w:rsidR="00D96131">
        <w:rPr>
          <w:rFonts w:ascii="Arial" w:hAnsi="Arial" w:cs="Arial"/>
        </w:rPr>
        <w:t>n</w:t>
      </w:r>
      <w:r>
        <w:rPr>
          <w:rFonts w:ascii="Arial" w:hAnsi="Arial" w:cs="Arial"/>
        </w:rPr>
        <w:t xml:space="preserve">seqüència de la caiguda </w:t>
      </w:r>
      <w:r w:rsidR="00D96131">
        <w:rPr>
          <w:rFonts w:ascii="Arial" w:hAnsi="Arial" w:cs="Arial"/>
        </w:rPr>
        <w:t>ll</w:t>
      </w:r>
      <w:r>
        <w:rPr>
          <w:rFonts w:ascii="Arial" w:hAnsi="Arial" w:cs="Arial"/>
        </w:rPr>
        <w:t>eugerament més intensa de la pob</w:t>
      </w:r>
      <w:r w:rsidR="00D96131">
        <w:rPr>
          <w:rFonts w:ascii="Arial" w:hAnsi="Arial" w:cs="Arial"/>
        </w:rPr>
        <w:t>l</w:t>
      </w:r>
      <w:r>
        <w:rPr>
          <w:rFonts w:ascii="Arial" w:hAnsi="Arial" w:cs="Arial"/>
        </w:rPr>
        <w:t>ació assalariada que del conjunt de la població ocup</w:t>
      </w:r>
      <w:r w:rsidR="00D96131">
        <w:rPr>
          <w:rFonts w:ascii="Arial" w:hAnsi="Arial" w:cs="Arial"/>
        </w:rPr>
        <w:t>a</w:t>
      </w:r>
      <w:r>
        <w:rPr>
          <w:rFonts w:ascii="Arial" w:hAnsi="Arial" w:cs="Arial"/>
        </w:rPr>
        <w:t>da.</w:t>
      </w:r>
    </w:p>
    <w:p w:rsidR="00A13181" w:rsidRDefault="00D96131" w:rsidP="00A43154">
      <w:pPr>
        <w:jc w:val="both"/>
        <w:rPr>
          <w:rFonts w:ascii="Arial" w:hAnsi="Arial" w:cs="Arial"/>
        </w:rPr>
      </w:pPr>
      <w:r>
        <w:rPr>
          <w:rFonts w:ascii="Arial" w:hAnsi="Arial" w:cs="Arial"/>
        </w:rPr>
        <w:t>Aquesta evolució contrasta amb la que tenen e</w:t>
      </w:r>
      <w:r w:rsidR="00473CFD">
        <w:rPr>
          <w:rFonts w:ascii="Arial" w:hAnsi="Arial" w:cs="Arial"/>
        </w:rPr>
        <w:t>n termes mitjans e</w:t>
      </w:r>
      <w:r w:rsidR="003A69BF">
        <w:rPr>
          <w:rFonts w:ascii="Arial" w:hAnsi="Arial" w:cs="Arial"/>
        </w:rPr>
        <w:t>ls països de la UE</w:t>
      </w:r>
      <w:r w:rsidR="00931C90">
        <w:rPr>
          <w:rFonts w:ascii="Arial" w:hAnsi="Arial" w:cs="Arial"/>
        </w:rPr>
        <w:noBreakHyphen/>
      </w:r>
      <w:r w:rsidR="00473CFD">
        <w:rPr>
          <w:rFonts w:ascii="Arial" w:hAnsi="Arial" w:cs="Arial"/>
        </w:rPr>
        <w:t>2</w:t>
      </w:r>
      <w:r w:rsidR="00E368B6">
        <w:rPr>
          <w:rFonts w:ascii="Arial" w:hAnsi="Arial" w:cs="Arial"/>
        </w:rPr>
        <w:t>8</w:t>
      </w:r>
      <w:r w:rsidR="00473CFD">
        <w:rPr>
          <w:rFonts w:ascii="Arial" w:hAnsi="Arial" w:cs="Arial"/>
        </w:rPr>
        <w:t>, on la participació de les rendes salarials ha gua</w:t>
      </w:r>
      <w:r w:rsidR="00595C83">
        <w:rPr>
          <w:rFonts w:ascii="Arial" w:hAnsi="Arial" w:cs="Arial"/>
        </w:rPr>
        <w:t>nya</w:t>
      </w:r>
      <w:r w:rsidR="00473CFD">
        <w:rPr>
          <w:rFonts w:ascii="Arial" w:hAnsi="Arial" w:cs="Arial"/>
        </w:rPr>
        <w:t>t pes sobre el PIB des de l’inici de la crisi, passa</w:t>
      </w:r>
      <w:r w:rsidR="008B2D0A">
        <w:rPr>
          <w:rFonts w:ascii="Arial" w:hAnsi="Arial" w:cs="Arial"/>
        </w:rPr>
        <w:t>n</w:t>
      </w:r>
      <w:r w:rsidR="00473CFD">
        <w:rPr>
          <w:rFonts w:ascii="Arial" w:hAnsi="Arial" w:cs="Arial"/>
        </w:rPr>
        <w:t>t del 5</w:t>
      </w:r>
      <w:r w:rsidR="00371AF8">
        <w:rPr>
          <w:rFonts w:ascii="Arial" w:hAnsi="Arial" w:cs="Arial"/>
        </w:rPr>
        <w:t>3</w:t>
      </w:r>
      <w:r w:rsidR="00473CFD">
        <w:rPr>
          <w:rFonts w:ascii="Arial" w:hAnsi="Arial" w:cs="Arial"/>
        </w:rPr>
        <w:t>,</w:t>
      </w:r>
      <w:r w:rsidR="00371AF8">
        <w:rPr>
          <w:rFonts w:ascii="Arial" w:hAnsi="Arial" w:cs="Arial"/>
        </w:rPr>
        <w:t>0</w:t>
      </w:r>
      <w:r w:rsidR="00473CFD">
        <w:rPr>
          <w:rFonts w:ascii="Arial" w:hAnsi="Arial" w:cs="Arial"/>
        </w:rPr>
        <w:t>% al 5</w:t>
      </w:r>
      <w:r w:rsidR="00371AF8">
        <w:rPr>
          <w:rFonts w:ascii="Arial" w:hAnsi="Arial" w:cs="Arial"/>
        </w:rPr>
        <w:t>4</w:t>
      </w:r>
      <w:r w:rsidR="00473CFD">
        <w:rPr>
          <w:rFonts w:ascii="Arial" w:hAnsi="Arial" w:cs="Arial"/>
        </w:rPr>
        <w:t>,3%</w:t>
      </w:r>
      <w:r w:rsidR="008B2D0A">
        <w:rPr>
          <w:rFonts w:ascii="Arial" w:hAnsi="Arial" w:cs="Arial"/>
        </w:rPr>
        <w:t xml:space="preserve"> entre el 2007 i el 201</w:t>
      </w:r>
      <w:r w:rsidR="00371AF8">
        <w:rPr>
          <w:rFonts w:ascii="Arial" w:hAnsi="Arial" w:cs="Arial"/>
        </w:rPr>
        <w:t>3</w:t>
      </w:r>
      <w:r w:rsidR="008B2D0A">
        <w:rPr>
          <w:rFonts w:ascii="Arial" w:hAnsi="Arial" w:cs="Arial"/>
        </w:rPr>
        <w:t xml:space="preserve"> amb un creixement del </w:t>
      </w:r>
      <w:r w:rsidR="00371AF8">
        <w:rPr>
          <w:rFonts w:ascii="Arial" w:hAnsi="Arial" w:cs="Arial"/>
        </w:rPr>
        <w:t>2,5</w:t>
      </w:r>
      <w:r w:rsidR="008B2D0A">
        <w:rPr>
          <w:rFonts w:ascii="Arial" w:hAnsi="Arial" w:cs="Arial"/>
        </w:rPr>
        <w:t xml:space="preserve">% que s’explica per l’augment del </w:t>
      </w:r>
      <w:r w:rsidR="00371AF8">
        <w:rPr>
          <w:rFonts w:ascii="Arial" w:hAnsi="Arial" w:cs="Arial"/>
        </w:rPr>
        <w:t>2</w:t>
      </w:r>
      <w:r w:rsidR="008B2D0A">
        <w:rPr>
          <w:rFonts w:ascii="Arial" w:hAnsi="Arial" w:cs="Arial"/>
        </w:rPr>
        <w:t xml:space="preserve">,2% de la part que cada assalariat obté de cada euro generat per ocupat, mentre que </w:t>
      </w:r>
      <w:r w:rsidR="00371AF8">
        <w:rPr>
          <w:rFonts w:ascii="Arial" w:hAnsi="Arial" w:cs="Arial"/>
        </w:rPr>
        <w:t>augmenta</w:t>
      </w:r>
      <w:r w:rsidR="008B2D0A">
        <w:rPr>
          <w:rFonts w:ascii="Arial" w:hAnsi="Arial" w:cs="Arial"/>
        </w:rPr>
        <w:t xml:space="preserve"> molt lleugerament, el 0,</w:t>
      </w:r>
      <w:r w:rsidR="00371AF8">
        <w:rPr>
          <w:rFonts w:ascii="Arial" w:hAnsi="Arial" w:cs="Arial"/>
        </w:rPr>
        <w:t>3</w:t>
      </w:r>
      <w:r w:rsidR="008B2D0A">
        <w:rPr>
          <w:rFonts w:ascii="Arial" w:hAnsi="Arial" w:cs="Arial"/>
        </w:rPr>
        <w:t>% la taxa d’assalarització com a conseqüència de la caiguda lleugerament m</w:t>
      </w:r>
      <w:r w:rsidR="00371AF8">
        <w:rPr>
          <w:rFonts w:ascii="Arial" w:hAnsi="Arial" w:cs="Arial"/>
        </w:rPr>
        <w:t>eny</w:t>
      </w:r>
      <w:r w:rsidR="008B2D0A">
        <w:rPr>
          <w:rFonts w:ascii="Arial" w:hAnsi="Arial" w:cs="Arial"/>
        </w:rPr>
        <w:t>s intensa de la població assalariada que del conjunt de la població ocupada</w:t>
      </w:r>
      <w:r w:rsidR="004F51AF">
        <w:rPr>
          <w:rFonts w:ascii="Arial" w:hAnsi="Arial" w:cs="Arial"/>
        </w:rPr>
        <w:t xml:space="preserve"> si bé a nivells molt més reduïts que per l’economia catalana i espanyola. La població assalariada s’ha reduït el -1,</w:t>
      </w:r>
      <w:r w:rsidR="00371AF8">
        <w:rPr>
          <w:rFonts w:ascii="Arial" w:hAnsi="Arial" w:cs="Arial"/>
        </w:rPr>
        <w:t>8</w:t>
      </w:r>
      <w:r w:rsidR="004F51AF">
        <w:rPr>
          <w:rFonts w:ascii="Arial" w:hAnsi="Arial" w:cs="Arial"/>
        </w:rPr>
        <w:t>% en els anys 2007-201</w:t>
      </w:r>
      <w:r w:rsidR="00371AF8">
        <w:rPr>
          <w:rFonts w:ascii="Arial" w:hAnsi="Arial" w:cs="Arial"/>
        </w:rPr>
        <w:t>3</w:t>
      </w:r>
      <w:r w:rsidR="004F51AF">
        <w:rPr>
          <w:rFonts w:ascii="Arial" w:hAnsi="Arial" w:cs="Arial"/>
        </w:rPr>
        <w:t xml:space="preserve"> en la mitjana de països de la UE-2</w:t>
      </w:r>
      <w:r w:rsidR="00371AF8">
        <w:rPr>
          <w:rFonts w:ascii="Arial" w:hAnsi="Arial" w:cs="Arial"/>
        </w:rPr>
        <w:t>8</w:t>
      </w:r>
      <w:r w:rsidR="004F51AF">
        <w:rPr>
          <w:rFonts w:ascii="Arial" w:hAnsi="Arial" w:cs="Arial"/>
        </w:rPr>
        <w:t>.</w:t>
      </w:r>
      <w:bookmarkStart w:id="22" w:name="OLE_LINK21"/>
      <w:bookmarkStart w:id="23" w:name="OLE_LINK29"/>
    </w:p>
    <w:p w:rsidR="00DC3B83" w:rsidRDefault="00DC3B83">
      <w:pPr>
        <w:spacing w:after="0" w:line="240" w:lineRule="auto"/>
        <w:rPr>
          <w:rFonts w:ascii="Arial" w:hAnsi="Arial" w:cs="Arial"/>
        </w:rPr>
      </w:pPr>
      <w:r>
        <w:rPr>
          <w:rFonts w:ascii="Arial" w:hAnsi="Arial" w:cs="Arial"/>
        </w:rPr>
        <w:br w:type="page"/>
      </w:r>
    </w:p>
    <w:p w:rsidR="00DC3B83" w:rsidRPr="00A43154" w:rsidRDefault="00DC3B83" w:rsidP="00A43154">
      <w:pPr>
        <w:jc w:val="both"/>
        <w:rPr>
          <w:rFonts w:ascii="Arial" w:hAnsi="Arial" w:cs="Arial"/>
        </w:rPr>
      </w:pPr>
    </w:p>
    <w:p w:rsidR="00E338E8" w:rsidRDefault="00440A21" w:rsidP="00A50776">
      <w:pPr>
        <w:tabs>
          <w:tab w:val="left" w:pos="8504"/>
        </w:tabs>
        <w:spacing w:after="0"/>
        <w:rPr>
          <w:rFonts w:ascii="Arial" w:hAnsi="Arial" w:cs="Arial"/>
          <w:b/>
          <w:sz w:val="20"/>
          <w:szCs w:val="20"/>
        </w:rPr>
      </w:pPr>
      <w:r w:rsidRPr="00072897">
        <w:rPr>
          <w:rFonts w:ascii="Arial" w:hAnsi="Arial" w:cs="Arial"/>
          <w:b/>
          <w:sz w:val="20"/>
          <w:szCs w:val="20"/>
        </w:rPr>
        <w:t>Pes de les rendes s</w:t>
      </w:r>
      <w:r w:rsidR="00A23A45">
        <w:rPr>
          <w:rFonts w:ascii="Arial" w:hAnsi="Arial" w:cs="Arial"/>
          <w:b/>
          <w:sz w:val="20"/>
          <w:szCs w:val="20"/>
        </w:rPr>
        <w:t>a</w:t>
      </w:r>
      <w:r w:rsidRPr="00072897">
        <w:rPr>
          <w:rFonts w:ascii="Arial" w:hAnsi="Arial" w:cs="Arial"/>
          <w:b/>
          <w:sz w:val="20"/>
          <w:szCs w:val="20"/>
        </w:rPr>
        <w:t xml:space="preserve">larials sobre el PIB a </w:t>
      </w:r>
      <w:r w:rsidR="00473CFD" w:rsidRPr="00072897">
        <w:rPr>
          <w:rFonts w:ascii="Arial" w:hAnsi="Arial" w:cs="Arial"/>
          <w:b/>
          <w:sz w:val="20"/>
          <w:szCs w:val="20"/>
        </w:rPr>
        <w:t>cost dels factor</w:t>
      </w:r>
      <w:r w:rsidR="007911AC">
        <w:rPr>
          <w:rFonts w:ascii="Arial" w:hAnsi="Arial" w:cs="Arial"/>
          <w:b/>
          <w:sz w:val="20"/>
          <w:szCs w:val="20"/>
        </w:rPr>
        <w:t xml:space="preserve">s. </w:t>
      </w:r>
      <w:r w:rsidR="00F918BF">
        <w:rPr>
          <w:rFonts w:ascii="Arial" w:hAnsi="Arial" w:cs="Arial"/>
          <w:b/>
          <w:sz w:val="20"/>
          <w:szCs w:val="20"/>
        </w:rPr>
        <w:t>2005</w:t>
      </w:r>
      <w:r w:rsidR="007911AC">
        <w:rPr>
          <w:rFonts w:ascii="Arial" w:hAnsi="Arial" w:cs="Arial"/>
          <w:b/>
          <w:sz w:val="20"/>
          <w:szCs w:val="20"/>
        </w:rPr>
        <w:t>-201</w:t>
      </w:r>
      <w:bookmarkEnd w:id="22"/>
      <w:bookmarkEnd w:id="23"/>
      <w:r w:rsidR="00F918BF">
        <w:rPr>
          <w:rFonts w:ascii="Arial" w:hAnsi="Arial" w:cs="Arial"/>
          <w:b/>
          <w:sz w:val="20"/>
          <w:szCs w:val="20"/>
        </w:rPr>
        <w:t>4</w:t>
      </w:r>
    </w:p>
    <w:p w:rsidR="00E338E8" w:rsidRPr="00E338E8" w:rsidRDefault="00E338E8" w:rsidP="00E338E8">
      <w:pPr>
        <w:tabs>
          <w:tab w:val="left" w:pos="8504"/>
        </w:tabs>
        <w:spacing w:after="0"/>
        <w:rPr>
          <w:rFonts w:ascii="Arial" w:hAnsi="Arial" w:cs="Arial"/>
          <w:sz w:val="16"/>
          <w:szCs w:val="16"/>
        </w:rPr>
      </w:pPr>
      <w:r w:rsidRPr="00E338E8">
        <w:rPr>
          <w:noProof/>
          <w:szCs w:val="20"/>
          <w:lang w:eastAsia="ca-ES"/>
        </w:rPr>
        <w:drawing>
          <wp:inline distT="0" distB="0" distL="0" distR="0">
            <wp:extent cx="5400040" cy="2883228"/>
            <wp:effectExtent l="19050" t="0" r="0" b="0"/>
            <wp:docPr id="46"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srcRect/>
                    <a:stretch>
                      <a:fillRect/>
                    </a:stretch>
                  </pic:blipFill>
                  <pic:spPr bwMode="auto">
                    <a:xfrm>
                      <a:off x="0" y="0"/>
                      <a:ext cx="5400040" cy="2883228"/>
                    </a:xfrm>
                    <a:prstGeom prst="rect">
                      <a:avLst/>
                    </a:prstGeom>
                    <a:noFill/>
                    <a:ln w="9525">
                      <a:noFill/>
                      <a:miter lim="800000"/>
                      <a:headEnd/>
                      <a:tailEnd/>
                    </a:ln>
                  </pic:spPr>
                </pic:pic>
              </a:graphicData>
            </a:graphic>
          </wp:inline>
        </w:drawing>
      </w:r>
    </w:p>
    <w:p w:rsidR="00440A21" w:rsidRDefault="00440A21" w:rsidP="00A25B14">
      <w:pPr>
        <w:tabs>
          <w:tab w:val="left" w:pos="8504"/>
        </w:tabs>
        <w:rPr>
          <w:rFonts w:ascii="Arial" w:hAnsi="Arial" w:cs="Arial"/>
          <w:sz w:val="16"/>
          <w:szCs w:val="16"/>
        </w:rPr>
      </w:pPr>
      <w:r w:rsidRPr="00A83FB2">
        <w:rPr>
          <w:rFonts w:ascii="Arial" w:hAnsi="Arial" w:cs="Arial"/>
          <w:sz w:val="16"/>
          <w:szCs w:val="16"/>
        </w:rPr>
        <w:t>Font: Eurostat i Idescat i INE</w:t>
      </w:r>
      <w:r w:rsidR="00072897">
        <w:rPr>
          <w:rFonts w:ascii="Arial" w:hAnsi="Arial" w:cs="Arial"/>
          <w:sz w:val="16"/>
          <w:szCs w:val="16"/>
        </w:rPr>
        <w:t>.</w:t>
      </w:r>
    </w:p>
    <w:p w:rsidR="00A50776" w:rsidRPr="00AA2BE1" w:rsidRDefault="00A50776" w:rsidP="00A25B14">
      <w:pPr>
        <w:jc w:val="both"/>
        <w:rPr>
          <w:rFonts w:ascii="Arial" w:hAnsi="Arial" w:cs="Arial"/>
        </w:rPr>
      </w:pPr>
    </w:p>
    <w:p w:rsidR="00440A21" w:rsidRPr="00072897" w:rsidRDefault="003A694C" w:rsidP="004A0C97">
      <w:pPr>
        <w:spacing w:after="0"/>
        <w:rPr>
          <w:rFonts w:ascii="Arial" w:hAnsi="Arial" w:cs="Arial"/>
          <w:b/>
          <w:sz w:val="20"/>
          <w:szCs w:val="20"/>
        </w:rPr>
      </w:pPr>
      <w:bookmarkStart w:id="24" w:name="OLE_LINK22"/>
      <w:bookmarkStart w:id="25" w:name="OLE_LINK23"/>
      <w:bookmarkStart w:id="26" w:name="OLE_LINK28"/>
      <w:r w:rsidRPr="00072897">
        <w:rPr>
          <w:rFonts w:ascii="Arial" w:hAnsi="Arial" w:cs="Arial"/>
          <w:b/>
          <w:sz w:val="20"/>
          <w:szCs w:val="20"/>
        </w:rPr>
        <w:t xml:space="preserve">Pes dels rendes salarials per assalariat sobre el PIB per ocupat a </w:t>
      </w:r>
      <w:r w:rsidR="00473CFD" w:rsidRPr="00072897">
        <w:rPr>
          <w:rFonts w:ascii="Arial" w:hAnsi="Arial" w:cs="Arial"/>
          <w:b/>
          <w:sz w:val="20"/>
          <w:szCs w:val="20"/>
        </w:rPr>
        <w:t>cost dels factors</w:t>
      </w:r>
      <w:r w:rsidRPr="00072897">
        <w:rPr>
          <w:rFonts w:ascii="Arial" w:hAnsi="Arial" w:cs="Arial"/>
          <w:b/>
          <w:sz w:val="20"/>
          <w:szCs w:val="20"/>
        </w:rPr>
        <w:t xml:space="preserve">. </w:t>
      </w:r>
      <w:r w:rsidR="00397EC9">
        <w:rPr>
          <w:rFonts w:ascii="Arial" w:hAnsi="Arial" w:cs="Arial"/>
          <w:b/>
          <w:sz w:val="20"/>
          <w:szCs w:val="20"/>
        </w:rPr>
        <w:t>2005</w:t>
      </w:r>
      <w:r w:rsidR="00397EC9">
        <w:rPr>
          <w:rFonts w:ascii="Arial" w:hAnsi="Arial" w:cs="Arial"/>
          <w:b/>
          <w:sz w:val="20"/>
          <w:szCs w:val="20"/>
        </w:rPr>
        <w:noBreakHyphen/>
      </w:r>
      <w:r w:rsidRPr="00072897">
        <w:rPr>
          <w:rFonts w:ascii="Arial" w:hAnsi="Arial" w:cs="Arial"/>
          <w:b/>
          <w:sz w:val="20"/>
          <w:szCs w:val="20"/>
        </w:rPr>
        <w:t>201</w:t>
      </w:r>
      <w:r w:rsidR="00F918BF">
        <w:rPr>
          <w:rFonts w:ascii="Arial" w:hAnsi="Arial" w:cs="Arial"/>
          <w:b/>
          <w:sz w:val="20"/>
          <w:szCs w:val="20"/>
        </w:rPr>
        <w:t>4</w:t>
      </w:r>
    </w:p>
    <w:bookmarkEnd w:id="24"/>
    <w:bookmarkEnd w:id="25"/>
    <w:bookmarkEnd w:id="26"/>
    <w:p w:rsidR="00DC3B83" w:rsidRPr="00A50776" w:rsidRDefault="008E1C35" w:rsidP="00072897">
      <w:pPr>
        <w:spacing w:after="0"/>
        <w:jc w:val="both"/>
        <w:rPr>
          <w:rFonts w:ascii="Arial" w:hAnsi="Arial" w:cs="Arial"/>
          <w:sz w:val="16"/>
          <w:szCs w:val="16"/>
        </w:rPr>
      </w:pPr>
      <w:r w:rsidRPr="008E1C35">
        <w:rPr>
          <w:noProof/>
          <w:szCs w:val="16"/>
          <w:lang w:eastAsia="ca-ES"/>
        </w:rPr>
        <w:drawing>
          <wp:inline distT="0" distB="0" distL="0" distR="0">
            <wp:extent cx="5400040" cy="2885083"/>
            <wp:effectExtent l="19050" t="0" r="0" b="0"/>
            <wp:docPr id="5"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3A694C" w:rsidRPr="00A83FB2" w:rsidRDefault="003A694C" w:rsidP="0032094E">
      <w:pPr>
        <w:jc w:val="both"/>
        <w:rPr>
          <w:rFonts w:ascii="Arial" w:hAnsi="Arial" w:cs="Arial"/>
          <w:sz w:val="16"/>
          <w:szCs w:val="16"/>
        </w:rPr>
      </w:pPr>
      <w:r w:rsidRPr="00A83FB2">
        <w:rPr>
          <w:rFonts w:ascii="Arial" w:hAnsi="Arial" w:cs="Arial"/>
          <w:sz w:val="16"/>
          <w:szCs w:val="16"/>
        </w:rPr>
        <w:t>Font: Eurostat i Idescat i INE</w:t>
      </w:r>
      <w:r w:rsidR="00072897">
        <w:rPr>
          <w:rFonts w:ascii="Arial" w:hAnsi="Arial" w:cs="Arial"/>
          <w:sz w:val="16"/>
          <w:szCs w:val="16"/>
        </w:rPr>
        <w:t>.</w:t>
      </w:r>
    </w:p>
    <w:p w:rsidR="00DC3B83" w:rsidRDefault="00DC3B83">
      <w:pPr>
        <w:spacing w:after="0" w:line="240" w:lineRule="auto"/>
        <w:rPr>
          <w:rFonts w:ascii="Arial" w:hAnsi="Arial" w:cs="Arial"/>
          <w:b/>
          <w:sz w:val="20"/>
          <w:szCs w:val="20"/>
        </w:rPr>
      </w:pPr>
      <w:bookmarkStart w:id="27" w:name="OLE_LINK24"/>
      <w:r>
        <w:rPr>
          <w:rFonts w:ascii="Arial" w:hAnsi="Arial" w:cs="Arial"/>
          <w:b/>
          <w:sz w:val="20"/>
          <w:szCs w:val="20"/>
        </w:rPr>
        <w:br w:type="page"/>
      </w:r>
    </w:p>
    <w:p w:rsidR="00DC3B83" w:rsidRPr="00DC3B83" w:rsidRDefault="00DC3B83" w:rsidP="00A50776">
      <w:pPr>
        <w:spacing w:after="0"/>
        <w:rPr>
          <w:rFonts w:ascii="Arial" w:hAnsi="Arial" w:cs="Arial"/>
          <w:b/>
          <w:sz w:val="24"/>
          <w:szCs w:val="24"/>
        </w:rPr>
      </w:pPr>
    </w:p>
    <w:p w:rsidR="003A694C" w:rsidRPr="00072897" w:rsidRDefault="003A694C" w:rsidP="00A50776">
      <w:pPr>
        <w:spacing w:after="0"/>
        <w:rPr>
          <w:rFonts w:ascii="Arial" w:hAnsi="Arial" w:cs="Arial"/>
          <w:b/>
          <w:sz w:val="20"/>
          <w:szCs w:val="20"/>
        </w:rPr>
      </w:pPr>
      <w:r w:rsidRPr="00072897">
        <w:rPr>
          <w:rFonts w:ascii="Arial" w:hAnsi="Arial" w:cs="Arial"/>
          <w:b/>
          <w:sz w:val="20"/>
          <w:szCs w:val="20"/>
        </w:rPr>
        <w:t xml:space="preserve">Evolució de la taxa d’assalarització (assalariats sobre ocupats). </w:t>
      </w:r>
      <w:r w:rsidR="00F918BF">
        <w:rPr>
          <w:rFonts w:ascii="Arial" w:hAnsi="Arial" w:cs="Arial"/>
          <w:b/>
          <w:sz w:val="20"/>
          <w:szCs w:val="20"/>
        </w:rPr>
        <w:t>2005</w:t>
      </w:r>
      <w:r w:rsidRPr="00072897">
        <w:rPr>
          <w:rFonts w:ascii="Arial" w:hAnsi="Arial" w:cs="Arial"/>
          <w:b/>
          <w:sz w:val="20"/>
          <w:szCs w:val="20"/>
        </w:rPr>
        <w:t>-201</w:t>
      </w:r>
      <w:r w:rsidR="00F918BF">
        <w:rPr>
          <w:rFonts w:ascii="Arial" w:hAnsi="Arial" w:cs="Arial"/>
          <w:b/>
          <w:sz w:val="20"/>
          <w:szCs w:val="20"/>
        </w:rPr>
        <w:t>4</w:t>
      </w:r>
    </w:p>
    <w:bookmarkEnd w:id="27"/>
    <w:p w:rsidR="00A50776" w:rsidRDefault="00A50776" w:rsidP="00072897">
      <w:pPr>
        <w:spacing w:after="0"/>
        <w:jc w:val="both"/>
        <w:rPr>
          <w:rFonts w:ascii="Arial" w:hAnsi="Arial" w:cs="Arial"/>
          <w:sz w:val="16"/>
          <w:szCs w:val="16"/>
        </w:rPr>
      </w:pPr>
      <w:r w:rsidRPr="00A50776">
        <w:rPr>
          <w:noProof/>
          <w:szCs w:val="16"/>
          <w:lang w:eastAsia="ca-ES"/>
        </w:rPr>
        <w:drawing>
          <wp:inline distT="0" distB="0" distL="0" distR="0">
            <wp:extent cx="5400040" cy="2868771"/>
            <wp:effectExtent l="19050" t="0" r="0" b="0"/>
            <wp:docPr id="49"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srcRect/>
                    <a:stretch>
                      <a:fillRect/>
                    </a:stretch>
                  </pic:blipFill>
                  <pic:spPr bwMode="auto">
                    <a:xfrm>
                      <a:off x="0" y="0"/>
                      <a:ext cx="5400040" cy="2868771"/>
                    </a:xfrm>
                    <a:prstGeom prst="rect">
                      <a:avLst/>
                    </a:prstGeom>
                    <a:noFill/>
                    <a:ln w="9525">
                      <a:noFill/>
                      <a:miter lim="800000"/>
                      <a:headEnd/>
                      <a:tailEnd/>
                    </a:ln>
                  </pic:spPr>
                </pic:pic>
              </a:graphicData>
            </a:graphic>
          </wp:inline>
        </w:drawing>
      </w:r>
    </w:p>
    <w:p w:rsidR="003A694C" w:rsidRPr="00A83FB2" w:rsidRDefault="003A694C" w:rsidP="0032094E">
      <w:pPr>
        <w:jc w:val="both"/>
        <w:rPr>
          <w:rFonts w:ascii="Arial" w:hAnsi="Arial" w:cs="Arial"/>
          <w:sz w:val="16"/>
          <w:szCs w:val="16"/>
        </w:rPr>
      </w:pPr>
      <w:r w:rsidRPr="00A83FB2">
        <w:rPr>
          <w:rFonts w:ascii="Arial" w:hAnsi="Arial" w:cs="Arial"/>
          <w:sz w:val="16"/>
          <w:szCs w:val="16"/>
        </w:rPr>
        <w:t>Font: Eurostat i Idescat i INE</w:t>
      </w:r>
      <w:r w:rsidR="00072897">
        <w:rPr>
          <w:rFonts w:ascii="Arial" w:hAnsi="Arial" w:cs="Arial"/>
          <w:sz w:val="16"/>
          <w:szCs w:val="16"/>
        </w:rPr>
        <w:t>.</w:t>
      </w:r>
    </w:p>
    <w:p w:rsidR="00A50776" w:rsidRPr="00AA2BE1" w:rsidRDefault="00A50776" w:rsidP="0032094E">
      <w:pPr>
        <w:rPr>
          <w:rFonts w:ascii="Arial" w:hAnsi="Arial" w:cs="Arial"/>
        </w:rPr>
      </w:pPr>
      <w:bookmarkStart w:id="28" w:name="OLE_LINK25"/>
    </w:p>
    <w:p w:rsidR="00440A21" w:rsidRPr="00072897" w:rsidRDefault="00440A21" w:rsidP="00A50776">
      <w:pPr>
        <w:spacing w:after="0"/>
        <w:rPr>
          <w:rFonts w:ascii="Arial" w:hAnsi="Arial" w:cs="Arial"/>
          <w:b/>
          <w:sz w:val="20"/>
          <w:szCs w:val="20"/>
        </w:rPr>
      </w:pPr>
      <w:r w:rsidRPr="00072897">
        <w:rPr>
          <w:rFonts w:ascii="Arial" w:hAnsi="Arial" w:cs="Arial"/>
          <w:b/>
          <w:sz w:val="20"/>
          <w:szCs w:val="20"/>
        </w:rPr>
        <w:t>Evolució de les rendes salarials per assalariat en termes reals</w:t>
      </w:r>
      <w:r w:rsidR="004A0C97">
        <w:rPr>
          <w:rFonts w:ascii="Arial" w:hAnsi="Arial" w:cs="Arial"/>
          <w:b/>
          <w:sz w:val="20"/>
          <w:szCs w:val="20"/>
        </w:rPr>
        <w:t>, a preus constants del 2010.</w:t>
      </w:r>
      <w:r w:rsidR="00397EC9">
        <w:rPr>
          <w:rFonts w:ascii="Arial" w:hAnsi="Arial" w:cs="Arial"/>
          <w:b/>
          <w:sz w:val="20"/>
          <w:szCs w:val="20"/>
        </w:rPr>
        <w:t xml:space="preserve"> </w:t>
      </w:r>
      <w:r w:rsidR="00F918BF">
        <w:rPr>
          <w:rFonts w:ascii="Arial" w:hAnsi="Arial" w:cs="Arial"/>
          <w:b/>
          <w:sz w:val="20"/>
          <w:szCs w:val="20"/>
        </w:rPr>
        <w:t>2005</w:t>
      </w:r>
      <w:r w:rsidRPr="00072897">
        <w:rPr>
          <w:rFonts w:ascii="Arial" w:hAnsi="Arial" w:cs="Arial"/>
          <w:b/>
          <w:sz w:val="20"/>
          <w:szCs w:val="20"/>
        </w:rPr>
        <w:t>-201</w:t>
      </w:r>
      <w:r w:rsidR="00F918BF">
        <w:rPr>
          <w:rFonts w:ascii="Arial" w:hAnsi="Arial" w:cs="Arial"/>
          <w:b/>
          <w:sz w:val="20"/>
          <w:szCs w:val="20"/>
        </w:rPr>
        <w:t>4</w:t>
      </w:r>
    </w:p>
    <w:bookmarkEnd w:id="28"/>
    <w:p w:rsidR="00A50776" w:rsidRDefault="00A50776" w:rsidP="00A43154">
      <w:pPr>
        <w:spacing w:after="0"/>
        <w:jc w:val="both"/>
        <w:rPr>
          <w:rFonts w:ascii="Arial" w:hAnsi="Arial" w:cs="Arial"/>
          <w:sz w:val="16"/>
          <w:szCs w:val="16"/>
        </w:rPr>
      </w:pPr>
      <w:r w:rsidRPr="00A50776">
        <w:rPr>
          <w:noProof/>
          <w:szCs w:val="16"/>
          <w:lang w:eastAsia="ca-ES"/>
        </w:rPr>
        <w:drawing>
          <wp:inline distT="0" distB="0" distL="0" distR="0">
            <wp:extent cx="5400040" cy="2886949"/>
            <wp:effectExtent l="19050" t="0" r="0" b="0"/>
            <wp:docPr id="51"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cstate="print"/>
                    <a:srcRect/>
                    <a:stretch>
                      <a:fillRect/>
                    </a:stretch>
                  </pic:blipFill>
                  <pic:spPr bwMode="auto">
                    <a:xfrm>
                      <a:off x="0" y="0"/>
                      <a:ext cx="5400040" cy="2886949"/>
                    </a:xfrm>
                    <a:prstGeom prst="rect">
                      <a:avLst/>
                    </a:prstGeom>
                    <a:noFill/>
                    <a:ln w="9525">
                      <a:noFill/>
                      <a:miter lim="800000"/>
                      <a:headEnd/>
                      <a:tailEnd/>
                    </a:ln>
                  </pic:spPr>
                </pic:pic>
              </a:graphicData>
            </a:graphic>
          </wp:inline>
        </w:drawing>
      </w:r>
    </w:p>
    <w:p w:rsidR="00DF79EC" w:rsidRDefault="00F44985" w:rsidP="004B7AAC">
      <w:pPr>
        <w:jc w:val="both"/>
        <w:rPr>
          <w:rFonts w:ascii="Arial" w:hAnsi="Arial" w:cs="Arial"/>
          <w:sz w:val="16"/>
          <w:szCs w:val="16"/>
        </w:rPr>
      </w:pPr>
      <w:r w:rsidRPr="00A83FB2">
        <w:rPr>
          <w:rFonts w:ascii="Arial" w:hAnsi="Arial" w:cs="Arial"/>
          <w:sz w:val="16"/>
          <w:szCs w:val="16"/>
        </w:rPr>
        <w:t>Font: Eurostat i Idescat i INE</w:t>
      </w:r>
      <w:r w:rsidR="00DF79EC">
        <w:rPr>
          <w:rFonts w:ascii="Arial" w:hAnsi="Arial" w:cs="Arial"/>
          <w:sz w:val="16"/>
          <w:szCs w:val="16"/>
        </w:rPr>
        <w:t>.</w:t>
      </w:r>
    </w:p>
    <w:p w:rsidR="00DC3B83" w:rsidRDefault="00DC3B83">
      <w:pPr>
        <w:spacing w:after="0" w:line="240" w:lineRule="auto"/>
        <w:rPr>
          <w:rFonts w:ascii="Arial" w:hAnsi="Arial" w:cs="Arial"/>
        </w:rPr>
      </w:pPr>
      <w:r>
        <w:rPr>
          <w:rFonts w:ascii="Arial" w:hAnsi="Arial" w:cs="Arial"/>
        </w:rPr>
        <w:br w:type="page"/>
      </w:r>
    </w:p>
    <w:p w:rsidR="00397EC9" w:rsidRPr="00397EC9" w:rsidRDefault="00A13181" w:rsidP="00072897">
      <w:pPr>
        <w:tabs>
          <w:tab w:val="left" w:pos="567"/>
        </w:tabs>
        <w:jc w:val="both"/>
        <w:rPr>
          <w:rFonts w:ascii="Arial" w:hAnsi="Arial" w:cs="Arial"/>
          <w:b/>
          <w:sz w:val="24"/>
          <w:szCs w:val="24"/>
        </w:rPr>
      </w:pPr>
      <w:r>
        <w:rPr>
          <w:rFonts w:ascii="Arial" w:hAnsi="Arial" w:cs="Arial"/>
          <w:b/>
          <w:sz w:val="24"/>
          <w:szCs w:val="24"/>
        </w:rPr>
        <w:lastRenderedPageBreak/>
        <w:t>6</w:t>
      </w:r>
      <w:r w:rsidR="00440A21" w:rsidRPr="00A83FB2">
        <w:rPr>
          <w:rFonts w:ascii="Arial" w:hAnsi="Arial" w:cs="Arial"/>
          <w:b/>
          <w:sz w:val="24"/>
          <w:szCs w:val="24"/>
        </w:rPr>
        <w:t>.</w:t>
      </w:r>
      <w:r w:rsidR="00775DD0">
        <w:rPr>
          <w:rFonts w:ascii="Arial" w:hAnsi="Arial" w:cs="Arial"/>
          <w:b/>
          <w:sz w:val="24"/>
          <w:szCs w:val="24"/>
        </w:rPr>
        <w:t>4</w:t>
      </w:r>
      <w:r w:rsidR="00072897">
        <w:rPr>
          <w:rFonts w:ascii="Arial" w:hAnsi="Arial" w:cs="Arial"/>
          <w:b/>
          <w:sz w:val="24"/>
          <w:szCs w:val="24"/>
        </w:rPr>
        <w:t>.</w:t>
      </w:r>
      <w:r w:rsidR="00440A21" w:rsidRPr="00A83FB2">
        <w:rPr>
          <w:rFonts w:ascii="Arial" w:hAnsi="Arial" w:cs="Arial"/>
          <w:b/>
          <w:sz w:val="24"/>
          <w:szCs w:val="24"/>
        </w:rPr>
        <w:t xml:space="preserve"> Desigualtats</w:t>
      </w:r>
      <w:r w:rsidR="002115AD">
        <w:rPr>
          <w:rFonts w:ascii="Arial" w:hAnsi="Arial" w:cs="Arial"/>
          <w:b/>
          <w:sz w:val="24"/>
          <w:szCs w:val="24"/>
        </w:rPr>
        <w:t xml:space="preserve"> en rendes</w:t>
      </w:r>
      <w:r w:rsidR="00440A21" w:rsidRPr="00A83FB2">
        <w:rPr>
          <w:rFonts w:ascii="Arial" w:hAnsi="Arial" w:cs="Arial"/>
          <w:b/>
          <w:sz w:val="24"/>
          <w:szCs w:val="24"/>
        </w:rPr>
        <w:t xml:space="preserve"> salari</w:t>
      </w:r>
      <w:r w:rsidR="002115AD">
        <w:rPr>
          <w:rFonts w:ascii="Arial" w:hAnsi="Arial" w:cs="Arial"/>
          <w:b/>
          <w:sz w:val="24"/>
          <w:szCs w:val="24"/>
        </w:rPr>
        <w:t>al</w:t>
      </w:r>
      <w:r w:rsidR="00440A21" w:rsidRPr="00A83FB2">
        <w:rPr>
          <w:rFonts w:ascii="Arial" w:hAnsi="Arial" w:cs="Arial"/>
          <w:b/>
          <w:sz w:val="24"/>
          <w:szCs w:val="24"/>
        </w:rPr>
        <w:t>s</w:t>
      </w:r>
    </w:p>
    <w:p w:rsidR="00CA0F92" w:rsidRPr="004E5AA8" w:rsidRDefault="00CA0F92" w:rsidP="00220E83">
      <w:pPr>
        <w:jc w:val="both"/>
        <w:rPr>
          <w:rFonts w:ascii="Arial" w:hAnsi="Arial" w:cs="Arial"/>
        </w:rPr>
      </w:pPr>
      <w:r w:rsidRPr="004E5AA8">
        <w:rPr>
          <w:rFonts w:ascii="Arial" w:hAnsi="Arial" w:cs="Arial"/>
        </w:rPr>
        <w:t>La pèrdua de pes de les rendes salarial en la distribució de la renda é</w:t>
      </w:r>
      <w:smartTag w:uri="urn:schemas-microsoft-com:office:smarttags" w:element="PersonName">
        <w:r w:rsidRPr="004E5AA8">
          <w:rPr>
            <w:rFonts w:ascii="Arial" w:hAnsi="Arial" w:cs="Arial"/>
          </w:rPr>
          <w:t>s e</w:t>
        </w:r>
      </w:smartTag>
      <w:r w:rsidRPr="004E5AA8">
        <w:rPr>
          <w:rFonts w:ascii="Arial" w:hAnsi="Arial" w:cs="Arial"/>
        </w:rPr>
        <w:t>n si mateix un factor determinant de l’augment de les desigualtat</w:t>
      </w:r>
      <w:smartTag w:uri="urn:schemas-microsoft-com:office:smarttags" w:element="PersonName">
        <w:r w:rsidRPr="004E5AA8">
          <w:rPr>
            <w:rFonts w:ascii="Arial" w:hAnsi="Arial" w:cs="Arial"/>
          </w:rPr>
          <w:t>s e</w:t>
        </w:r>
      </w:smartTag>
      <w:r w:rsidRPr="004E5AA8">
        <w:rPr>
          <w:rFonts w:ascii="Arial" w:hAnsi="Arial" w:cs="Arial"/>
        </w:rPr>
        <w:t>n la mesura que aquestes tenen un p</w:t>
      </w:r>
      <w:r w:rsidR="00274A95" w:rsidRPr="004E5AA8">
        <w:rPr>
          <w:rFonts w:ascii="Arial" w:hAnsi="Arial" w:cs="Arial"/>
        </w:rPr>
        <w:t>a</w:t>
      </w:r>
      <w:r w:rsidRPr="004E5AA8">
        <w:rPr>
          <w:rFonts w:ascii="Arial" w:hAnsi="Arial" w:cs="Arial"/>
        </w:rPr>
        <w:t>tró de distribució mé</w:t>
      </w:r>
      <w:smartTag w:uri="urn:schemas-microsoft-com:office:smarttags" w:element="PersonName">
        <w:r w:rsidRPr="004E5AA8">
          <w:rPr>
            <w:rFonts w:ascii="Arial" w:hAnsi="Arial" w:cs="Arial"/>
          </w:rPr>
          <w:t>s e</w:t>
        </w:r>
      </w:smartTag>
      <w:r w:rsidRPr="004E5AA8">
        <w:rPr>
          <w:rFonts w:ascii="Arial" w:hAnsi="Arial" w:cs="Arial"/>
        </w:rPr>
        <w:t>quitatiu que el conjunt de rendes no salarials.</w:t>
      </w:r>
    </w:p>
    <w:p w:rsidR="00CA0F92" w:rsidRPr="004E5AA8" w:rsidRDefault="00CA0F92" w:rsidP="00220E83">
      <w:pPr>
        <w:jc w:val="both"/>
        <w:rPr>
          <w:rFonts w:ascii="Arial" w:hAnsi="Arial" w:cs="Arial"/>
        </w:rPr>
      </w:pPr>
      <w:r w:rsidRPr="004E5AA8">
        <w:rPr>
          <w:rFonts w:ascii="Arial" w:hAnsi="Arial" w:cs="Arial"/>
        </w:rPr>
        <w:t>Si bé no tenim dades disp</w:t>
      </w:r>
      <w:r w:rsidR="00274A95" w:rsidRPr="004E5AA8">
        <w:rPr>
          <w:rFonts w:ascii="Arial" w:hAnsi="Arial" w:cs="Arial"/>
        </w:rPr>
        <w:t>o</w:t>
      </w:r>
      <w:r w:rsidRPr="004E5AA8">
        <w:rPr>
          <w:rFonts w:ascii="Arial" w:hAnsi="Arial" w:cs="Arial"/>
        </w:rPr>
        <w:t>nible per Catalunya, tant pel conjunt d’Espanya com per la mitjana de països de la UE-27</w:t>
      </w:r>
      <w:r w:rsidR="00274A95" w:rsidRPr="004E5AA8">
        <w:rPr>
          <w:rFonts w:ascii="Arial" w:hAnsi="Arial" w:cs="Arial"/>
        </w:rPr>
        <w:t xml:space="preserve"> l’indicador de desigualtat S80/S20 de les rendes salarials té un valor que és més de la meitat que el mateix valor de l’indicador pel conjunt de la renda disponible equivalent de les famílies.</w:t>
      </w:r>
    </w:p>
    <w:p w:rsidR="00274A95" w:rsidRPr="004E5AA8" w:rsidRDefault="00274A95" w:rsidP="00220E83">
      <w:pPr>
        <w:jc w:val="both"/>
        <w:rPr>
          <w:rFonts w:ascii="Arial" w:hAnsi="Arial" w:cs="Arial"/>
        </w:rPr>
      </w:pPr>
      <w:r w:rsidRPr="004E5AA8">
        <w:rPr>
          <w:rFonts w:ascii="Arial" w:hAnsi="Arial" w:cs="Arial"/>
        </w:rPr>
        <w:t>Mentre la renda disponible acumulada pel 20% més ric de la població é</w:t>
      </w:r>
      <w:smartTag w:uri="urn:schemas-microsoft-com:office:smarttags" w:element="PersonName">
        <w:r w:rsidRPr="004E5AA8">
          <w:rPr>
            <w:rFonts w:ascii="Arial" w:hAnsi="Arial" w:cs="Arial"/>
          </w:rPr>
          <w:t>s e</w:t>
        </w:r>
      </w:smartTag>
      <w:r w:rsidRPr="004E5AA8">
        <w:rPr>
          <w:rFonts w:ascii="Arial" w:hAnsi="Arial" w:cs="Arial"/>
        </w:rPr>
        <w:t>ntre 5 i 7 vegades superior a la renda disponible acumulada pel 20% més pobre, quan només tenim en compte les rendes salarials</w:t>
      </w:r>
      <w:r w:rsidR="003D1232" w:rsidRPr="004E5AA8">
        <w:rPr>
          <w:rFonts w:ascii="Arial" w:hAnsi="Arial" w:cs="Arial"/>
        </w:rPr>
        <w:t>, el 20% dels perceptors de rendes sal</w:t>
      </w:r>
      <w:r w:rsidR="002115AD" w:rsidRPr="004E5AA8">
        <w:rPr>
          <w:rFonts w:ascii="Arial" w:hAnsi="Arial" w:cs="Arial"/>
        </w:rPr>
        <w:t>a</w:t>
      </w:r>
      <w:r w:rsidR="003D1232" w:rsidRPr="004E5AA8">
        <w:rPr>
          <w:rFonts w:ascii="Arial" w:hAnsi="Arial" w:cs="Arial"/>
        </w:rPr>
        <w:t>rials més rics ac</w:t>
      </w:r>
      <w:r w:rsidR="002115AD" w:rsidRPr="004E5AA8">
        <w:rPr>
          <w:rFonts w:ascii="Arial" w:hAnsi="Arial" w:cs="Arial"/>
        </w:rPr>
        <w:t>u</w:t>
      </w:r>
      <w:r w:rsidR="003D1232" w:rsidRPr="004E5AA8">
        <w:rPr>
          <w:rFonts w:ascii="Arial" w:hAnsi="Arial" w:cs="Arial"/>
        </w:rPr>
        <w:t>mulen entre 2 i pràcticament 3 vegades que els més pobres.</w:t>
      </w:r>
    </w:p>
    <w:p w:rsidR="00440A21" w:rsidRPr="004E5AA8" w:rsidRDefault="003D1232" w:rsidP="00220E83">
      <w:pPr>
        <w:jc w:val="both"/>
        <w:rPr>
          <w:rFonts w:ascii="Arial" w:hAnsi="Arial" w:cs="Arial"/>
        </w:rPr>
      </w:pPr>
      <w:r w:rsidRPr="004E5AA8">
        <w:rPr>
          <w:rFonts w:ascii="Arial" w:hAnsi="Arial" w:cs="Arial"/>
        </w:rPr>
        <w:t>Però tot i així, e</w:t>
      </w:r>
      <w:r w:rsidR="00CA0F92" w:rsidRPr="004E5AA8">
        <w:rPr>
          <w:rFonts w:ascii="Arial" w:hAnsi="Arial" w:cs="Arial"/>
        </w:rPr>
        <w:t>l retrocés de la cap</w:t>
      </w:r>
      <w:r w:rsidRPr="004E5AA8">
        <w:rPr>
          <w:rFonts w:ascii="Arial" w:hAnsi="Arial" w:cs="Arial"/>
        </w:rPr>
        <w:t>a</w:t>
      </w:r>
      <w:r w:rsidR="00CA0F92" w:rsidRPr="004E5AA8">
        <w:rPr>
          <w:rFonts w:ascii="Arial" w:hAnsi="Arial" w:cs="Arial"/>
        </w:rPr>
        <w:t>c</w:t>
      </w:r>
      <w:r w:rsidRPr="004E5AA8">
        <w:rPr>
          <w:rFonts w:ascii="Arial" w:hAnsi="Arial" w:cs="Arial"/>
        </w:rPr>
        <w:t>i</w:t>
      </w:r>
      <w:r w:rsidR="00CA0F92" w:rsidRPr="004E5AA8">
        <w:rPr>
          <w:rFonts w:ascii="Arial" w:hAnsi="Arial" w:cs="Arial"/>
        </w:rPr>
        <w:t>tat adqui</w:t>
      </w:r>
      <w:r w:rsidRPr="004E5AA8">
        <w:rPr>
          <w:rFonts w:ascii="Arial" w:hAnsi="Arial" w:cs="Arial"/>
        </w:rPr>
        <w:t>si</w:t>
      </w:r>
      <w:r w:rsidR="00CA0F92" w:rsidRPr="004E5AA8">
        <w:rPr>
          <w:rFonts w:ascii="Arial" w:hAnsi="Arial" w:cs="Arial"/>
        </w:rPr>
        <w:t xml:space="preserve">tiva de les rendes salarials per assalariat que té lloc </w:t>
      </w:r>
      <w:r w:rsidRPr="004E5AA8">
        <w:rPr>
          <w:rFonts w:ascii="Arial" w:hAnsi="Arial" w:cs="Arial"/>
        </w:rPr>
        <w:t>a partir especialment del 2009 en el conjunt de l’economia catalana i espanyola, també s’està distribuint de forma desigual afectant amb més intensitat a les rendes salarials més baixes. Així ho indica l’increment de</w:t>
      </w:r>
      <w:r w:rsidR="00DE23CA">
        <w:rPr>
          <w:rFonts w:ascii="Arial" w:hAnsi="Arial" w:cs="Arial"/>
        </w:rPr>
        <w:t xml:space="preserve"> </w:t>
      </w:r>
      <w:r w:rsidRPr="004E5AA8">
        <w:rPr>
          <w:rFonts w:ascii="Arial" w:hAnsi="Arial" w:cs="Arial"/>
        </w:rPr>
        <w:t>l</w:t>
      </w:r>
      <w:r w:rsidR="007911AC" w:rsidRPr="004E5AA8">
        <w:rPr>
          <w:rFonts w:ascii="Arial" w:hAnsi="Arial" w:cs="Arial"/>
        </w:rPr>
        <w:t>a rà</w:t>
      </w:r>
      <w:r w:rsidRPr="004E5AA8">
        <w:rPr>
          <w:rFonts w:ascii="Arial" w:hAnsi="Arial" w:cs="Arial"/>
        </w:rPr>
        <w:t>ti</w:t>
      </w:r>
      <w:r w:rsidR="007911AC" w:rsidRPr="004E5AA8">
        <w:rPr>
          <w:rFonts w:ascii="Arial" w:hAnsi="Arial" w:cs="Arial"/>
        </w:rPr>
        <w:t>o</w:t>
      </w:r>
      <w:r w:rsidRPr="004E5AA8">
        <w:rPr>
          <w:rFonts w:ascii="Arial" w:hAnsi="Arial" w:cs="Arial"/>
        </w:rPr>
        <w:t xml:space="preserve"> S80/S20 d</w:t>
      </w:r>
      <w:r w:rsidR="002115AD" w:rsidRPr="004E5AA8">
        <w:rPr>
          <w:rFonts w:ascii="Arial" w:hAnsi="Arial" w:cs="Arial"/>
        </w:rPr>
        <w:t xml:space="preserve">’aquestes </w:t>
      </w:r>
      <w:r w:rsidRPr="004E5AA8">
        <w:rPr>
          <w:rFonts w:ascii="Arial" w:hAnsi="Arial" w:cs="Arial"/>
        </w:rPr>
        <w:t>rendes per Espanya, que i</w:t>
      </w:r>
      <w:r w:rsidR="002115AD" w:rsidRPr="004E5AA8">
        <w:rPr>
          <w:rFonts w:ascii="Arial" w:hAnsi="Arial" w:cs="Arial"/>
        </w:rPr>
        <w:t>n</w:t>
      </w:r>
      <w:r w:rsidRPr="004E5AA8">
        <w:rPr>
          <w:rFonts w:ascii="Arial" w:hAnsi="Arial" w:cs="Arial"/>
        </w:rPr>
        <w:t xml:space="preserve">crementa entre el 2007 i el 2011 del 2,59 al 2,83. Un </w:t>
      </w:r>
      <w:r w:rsidR="002115AD" w:rsidRPr="004E5AA8">
        <w:rPr>
          <w:rFonts w:ascii="Arial" w:hAnsi="Arial" w:cs="Arial"/>
        </w:rPr>
        <w:t xml:space="preserve">augment </w:t>
      </w:r>
      <w:r w:rsidRPr="004E5AA8">
        <w:rPr>
          <w:rFonts w:ascii="Arial" w:hAnsi="Arial" w:cs="Arial"/>
        </w:rPr>
        <w:t>de l</w:t>
      </w:r>
      <w:r w:rsidR="002115AD" w:rsidRPr="004E5AA8">
        <w:rPr>
          <w:rFonts w:ascii="Arial" w:hAnsi="Arial" w:cs="Arial"/>
        </w:rPr>
        <w:t>a</w:t>
      </w:r>
      <w:r w:rsidRPr="004E5AA8">
        <w:rPr>
          <w:rFonts w:ascii="Arial" w:hAnsi="Arial" w:cs="Arial"/>
        </w:rPr>
        <w:t xml:space="preserve"> desigu</w:t>
      </w:r>
      <w:r w:rsidR="002115AD" w:rsidRPr="004E5AA8">
        <w:rPr>
          <w:rFonts w:ascii="Arial" w:hAnsi="Arial" w:cs="Arial"/>
        </w:rPr>
        <w:t>a</w:t>
      </w:r>
      <w:r w:rsidRPr="004E5AA8">
        <w:rPr>
          <w:rFonts w:ascii="Arial" w:hAnsi="Arial" w:cs="Arial"/>
        </w:rPr>
        <w:t>ltat de totes maneres inferior a l’experimentat pel conjunt de l</w:t>
      </w:r>
      <w:r w:rsidR="002115AD" w:rsidRPr="004E5AA8">
        <w:rPr>
          <w:rFonts w:ascii="Arial" w:hAnsi="Arial" w:cs="Arial"/>
        </w:rPr>
        <w:t>a renda disponible.</w:t>
      </w:r>
    </w:p>
    <w:p w:rsidR="002115AD" w:rsidRPr="004E5AA8" w:rsidRDefault="002115AD" w:rsidP="00220E83">
      <w:pPr>
        <w:jc w:val="both"/>
        <w:rPr>
          <w:rFonts w:ascii="Arial" w:hAnsi="Arial" w:cs="Arial"/>
        </w:rPr>
      </w:pPr>
      <w:r w:rsidRPr="004E5AA8">
        <w:rPr>
          <w:rFonts w:ascii="Arial" w:hAnsi="Arial" w:cs="Arial"/>
        </w:rPr>
        <w:t>Do</w:t>
      </w:r>
      <w:smartTag w:uri="urn:schemas-microsoft-com:office:smarttags" w:element="PersonName">
        <w:r w:rsidRPr="004E5AA8">
          <w:rPr>
            <w:rFonts w:ascii="Arial" w:hAnsi="Arial" w:cs="Arial"/>
          </w:rPr>
          <w:t>s e</w:t>
        </w:r>
      </w:smartTag>
      <w:r w:rsidRPr="004E5AA8">
        <w:rPr>
          <w:rFonts w:ascii="Arial" w:hAnsi="Arial" w:cs="Arial"/>
        </w:rPr>
        <w:t>lement</w:t>
      </w:r>
      <w:smartTag w:uri="urn:schemas-microsoft-com:office:smarttags" w:element="PersonName">
        <w:r w:rsidRPr="004E5AA8">
          <w:rPr>
            <w:rFonts w:ascii="Arial" w:hAnsi="Arial" w:cs="Arial"/>
          </w:rPr>
          <w:t>s e</w:t>
        </w:r>
      </w:smartTag>
      <w:r w:rsidRPr="004E5AA8">
        <w:rPr>
          <w:rFonts w:ascii="Arial" w:hAnsi="Arial" w:cs="Arial"/>
        </w:rPr>
        <w:t xml:space="preserve">ns permeten identificar </w:t>
      </w:r>
      <w:r w:rsidR="00525213" w:rsidRPr="004E5AA8">
        <w:rPr>
          <w:rFonts w:ascii="Arial" w:hAnsi="Arial" w:cs="Arial"/>
        </w:rPr>
        <w:t>aquest</w:t>
      </w:r>
      <w:r w:rsidR="006C3D32" w:rsidRPr="004E5AA8">
        <w:rPr>
          <w:rFonts w:ascii="Arial" w:hAnsi="Arial" w:cs="Arial"/>
        </w:rPr>
        <w:t xml:space="preserve"> empitjorament en la distribució de les rendes salarials.</w:t>
      </w:r>
    </w:p>
    <w:p w:rsidR="006C3D32" w:rsidRDefault="006C3D32" w:rsidP="00220E83">
      <w:pPr>
        <w:jc w:val="both"/>
        <w:rPr>
          <w:rFonts w:ascii="Arial" w:hAnsi="Arial" w:cs="Arial"/>
        </w:rPr>
      </w:pPr>
      <w:r w:rsidRPr="004E5AA8">
        <w:rPr>
          <w:rFonts w:ascii="Arial" w:hAnsi="Arial" w:cs="Arial"/>
        </w:rPr>
        <w:t>Per una part està augmentant la dispersió de les retribucion</w:t>
      </w:r>
      <w:smartTag w:uri="urn:schemas-microsoft-com:office:smarttags" w:element="PersonName">
        <w:r w:rsidRPr="004E5AA8">
          <w:rPr>
            <w:rFonts w:ascii="Arial" w:hAnsi="Arial" w:cs="Arial"/>
          </w:rPr>
          <w:t>s e</w:t>
        </w:r>
      </w:smartTag>
      <w:r w:rsidRPr="004E5AA8">
        <w:rPr>
          <w:rFonts w:ascii="Arial" w:hAnsi="Arial" w:cs="Arial"/>
        </w:rPr>
        <w:t>ntre categories laborals a Espanya entre el 2007 i el 2013. Mentre que la capacitat adquisitiva dels sous dels directius ha augmentat el 3,2%, la capacitat adquisitiva dels comandaments interm</w:t>
      </w:r>
      <w:r w:rsidR="00DE23CA">
        <w:rPr>
          <w:rFonts w:ascii="Arial" w:hAnsi="Arial" w:cs="Arial"/>
        </w:rPr>
        <w:t>edis</w:t>
      </w:r>
      <w:r w:rsidRPr="004E5AA8">
        <w:rPr>
          <w:rFonts w:ascii="Arial" w:hAnsi="Arial" w:cs="Arial"/>
        </w:rPr>
        <w:t xml:space="preserve"> es redueix el -7,3%, i el de la resta d’empleats ha caigut el -4,0%.</w:t>
      </w:r>
    </w:p>
    <w:p w:rsidR="00CA0F92" w:rsidRPr="00C129EF" w:rsidRDefault="00CA0F92" w:rsidP="004A0C97">
      <w:pPr>
        <w:spacing w:after="0"/>
        <w:rPr>
          <w:rFonts w:ascii="Arial" w:hAnsi="Arial" w:cs="Arial"/>
          <w:b/>
          <w:sz w:val="20"/>
          <w:szCs w:val="20"/>
        </w:rPr>
      </w:pPr>
      <w:bookmarkStart w:id="29" w:name="OLE_LINK30"/>
      <w:r w:rsidRPr="00C129EF">
        <w:rPr>
          <w:rFonts w:ascii="Arial" w:hAnsi="Arial" w:cs="Arial"/>
          <w:b/>
          <w:sz w:val="20"/>
          <w:szCs w:val="20"/>
        </w:rPr>
        <w:t>Evolució de la renda S80/S20 i de les rendes salarials S80/S20. 2007-2011</w:t>
      </w:r>
    </w:p>
    <w:bookmarkEnd w:id="29"/>
    <w:p w:rsidR="00FD4C17" w:rsidRDefault="008E1C35" w:rsidP="00C129EF">
      <w:pPr>
        <w:spacing w:after="0"/>
        <w:jc w:val="both"/>
      </w:pPr>
      <w:r w:rsidRPr="008E1C35">
        <w:rPr>
          <w:noProof/>
          <w:lang w:eastAsia="ca-ES"/>
        </w:rPr>
        <w:drawing>
          <wp:inline distT="0" distB="0" distL="0" distR="0">
            <wp:extent cx="5400040" cy="2885083"/>
            <wp:effectExtent l="19050" t="0" r="0" b="0"/>
            <wp:docPr id="27"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srcRect/>
                    <a:stretch>
                      <a:fillRect/>
                    </a:stretch>
                  </pic:blipFill>
                  <pic:spPr bwMode="auto">
                    <a:xfrm>
                      <a:off x="0" y="0"/>
                      <a:ext cx="5400040" cy="2885083"/>
                    </a:xfrm>
                    <a:prstGeom prst="rect">
                      <a:avLst/>
                    </a:prstGeom>
                    <a:noFill/>
                    <a:ln w="9525">
                      <a:noFill/>
                      <a:miter lim="800000"/>
                      <a:headEnd/>
                      <a:tailEnd/>
                    </a:ln>
                  </pic:spPr>
                </pic:pic>
              </a:graphicData>
            </a:graphic>
          </wp:inline>
        </w:drawing>
      </w:r>
    </w:p>
    <w:p w:rsidR="00BE6C12" w:rsidRPr="004B7AAC" w:rsidRDefault="00BE6C12" w:rsidP="004B7AAC">
      <w:pPr>
        <w:jc w:val="both"/>
        <w:rPr>
          <w:rFonts w:ascii="Arial" w:hAnsi="Arial" w:cs="Arial"/>
          <w:sz w:val="16"/>
          <w:szCs w:val="16"/>
        </w:rPr>
      </w:pPr>
      <w:r w:rsidRPr="00A83FB2">
        <w:rPr>
          <w:rFonts w:ascii="Arial" w:hAnsi="Arial" w:cs="Arial"/>
          <w:sz w:val="16"/>
          <w:szCs w:val="16"/>
        </w:rPr>
        <w:t>Font: Eurostat i Idescat i INE</w:t>
      </w:r>
      <w:r w:rsidR="00C129EF">
        <w:rPr>
          <w:rFonts w:ascii="Arial" w:hAnsi="Arial" w:cs="Arial"/>
          <w:sz w:val="16"/>
          <w:szCs w:val="16"/>
        </w:rPr>
        <w:t>.</w:t>
      </w:r>
    </w:p>
    <w:p w:rsidR="00653D55" w:rsidRPr="004B7AAC" w:rsidRDefault="00653D55" w:rsidP="004B7AAC">
      <w:pPr>
        <w:rPr>
          <w:rFonts w:ascii="Arial" w:hAnsi="Arial" w:cs="Arial"/>
          <w:sz w:val="20"/>
          <w:szCs w:val="20"/>
        </w:rPr>
      </w:pPr>
    </w:p>
    <w:p w:rsidR="00FD4C17" w:rsidRPr="00C129EF" w:rsidRDefault="00FD4C17" w:rsidP="004A0C97">
      <w:pPr>
        <w:spacing w:after="0"/>
        <w:rPr>
          <w:rFonts w:ascii="Arial" w:hAnsi="Arial" w:cs="Arial"/>
          <w:b/>
          <w:sz w:val="20"/>
          <w:szCs w:val="20"/>
        </w:rPr>
      </w:pPr>
      <w:r w:rsidRPr="00C129EF">
        <w:rPr>
          <w:rFonts w:ascii="Arial" w:hAnsi="Arial" w:cs="Arial"/>
          <w:b/>
          <w:sz w:val="20"/>
          <w:szCs w:val="20"/>
        </w:rPr>
        <w:t>Evolució del poder adquisitiu dels sous per cat</w:t>
      </w:r>
      <w:r w:rsidR="00C129EF" w:rsidRPr="00C129EF">
        <w:rPr>
          <w:rFonts w:ascii="Arial" w:hAnsi="Arial" w:cs="Arial"/>
          <w:b/>
          <w:sz w:val="20"/>
          <w:szCs w:val="20"/>
        </w:rPr>
        <w:t>egories laborals</w:t>
      </w:r>
      <w:r w:rsidR="004A0C97">
        <w:rPr>
          <w:rFonts w:ascii="Arial" w:hAnsi="Arial" w:cs="Arial"/>
          <w:b/>
          <w:sz w:val="20"/>
          <w:szCs w:val="20"/>
        </w:rPr>
        <w:t xml:space="preserve"> (</w:t>
      </w:r>
      <w:r w:rsidR="004A0C97" w:rsidRPr="00C129EF">
        <w:rPr>
          <w:rFonts w:ascii="Arial" w:hAnsi="Arial" w:cs="Arial"/>
          <w:b/>
          <w:sz w:val="20"/>
          <w:szCs w:val="20"/>
        </w:rPr>
        <w:t>Sous anuals bruts expressats a preus del 2005</w:t>
      </w:r>
      <w:r w:rsidR="004A0C97">
        <w:rPr>
          <w:rFonts w:ascii="Arial" w:hAnsi="Arial" w:cs="Arial"/>
          <w:b/>
          <w:sz w:val="20"/>
          <w:szCs w:val="20"/>
        </w:rPr>
        <w:t>).</w:t>
      </w:r>
      <w:r w:rsidR="00C129EF" w:rsidRPr="00C129EF">
        <w:rPr>
          <w:rFonts w:ascii="Arial" w:hAnsi="Arial" w:cs="Arial"/>
          <w:b/>
          <w:sz w:val="20"/>
          <w:szCs w:val="20"/>
        </w:rPr>
        <w:t xml:space="preserve"> Espanya</w:t>
      </w:r>
      <w:r w:rsidR="004A0C97">
        <w:rPr>
          <w:rFonts w:ascii="Arial" w:hAnsi="Arial" w:cs="Arial"/>
          <w:b/>
          <w:sz w:val="20"/>
          <w:szCs w:val="20"/>
        </w:rPr>
        <w:t>,</w:t>
      </w:r>
      <w:r w:rsidR="00C129EF" w:rsidRPr="00C129EF">
        <w:rPr>
          <w:rFonts w:ascii="Arial" w:hAnsi="Arial" w:cs="Arial"/>
          <w:b/>
          <w:sz w:val="20"/>
          <w:szCs w:val="20"/>
        </w:rPr>
        <w:t xml:space="preserve"> 2007</w:t>
      </w:r>
      <w:r w:rsidR="00C129EF" w:rsidRPr="00C129EF">
        <w:rPr>
          <w:rFonts w:ascii="Arial" w:hAnsi="Arial" w:cs="Arial"/>
          <w:b/>
          <w:sz w:val="20"/>
          <w:szCs w:val="20"/>
        </w:rPr>
        <w:noBreakHyphen/>
      </w:r>
      <w:r w:rsidR="00DE23CA">
        <w:rPr>
          <w:rFonts w:ascii="Arial" w:hAnsi="Arial" w:cs="Arial"/>
          <w:b/>
          <w:sz w:val="20"/>
          <w:szCs w:val="20"/>
        </w:rPr>
        <w:t>2013</w:t>
      </w:r>
    </w:p>
    <w:p w:rsidR="00FD4C17" w:rsidRPr="004A0C97" w:rsidRDefault="00783712" w:rsidP="00C129EF">
      <w:pPr>
        <w:spacing w:after="0"/>
        <w:jc w:val="both"/>
        <w:rPr>
          <w:rFonts w:ascii="Arial" w:hAnsi="Arial" w:cs="Arial"/>
          <w:sz w:val="16"/>
          <w:szCs w:val="16"/>
        </w:rPr>
      </w:pPr>
      <w:r>
        <w:rPr>
          <w:noProof/>
          <w:lang w:eastAsia="ca-ES"/>
        </w:rPr>
        <w:drawing>
          <wp:inline distT="0" distB="0" distL="0" distR="0">
            <wp:extent cx="5396865" cy="2889250"/>
            <wp:effectExtent l="19050" t="0" r="0" b="0"/>
            <wp:docPr id="55" name="Imat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3"/>
                    <pic:cNvPicPr>
                      <a:picLocks noChangeAspect="1" noChangeArrowheads="1"/>
                    </pic:cNvPicPr>
                  </pic:nvPicPr>
                  <pic:blipFill>
                    <a:blip r:embed="rId76" cstate="print"/>
                    <a:srcRect/>
                    <a:stretch>
                      <a:fillRect/>
                    </a:stretch>
                  </pic:blipFill>
                  <pic:spPr bwMode="auto">
                    <a:xfrm>
                      <a:off x="0" y="0"/>
                      <a:ext cx="5396865" cy="2889250"/>
                    </a:xfrm>
                    <a:prstGeom prst="rect">
                      <a:avLst/>
                    </a:prstGeom>
                    <a:noFill/>
                    <a:ln w="9525">
                      <a:noFill/>
                      <a:miter lim="800000"/>
                      <a:headEnd/>
                      <a:tailEnd/>
                    </a:ln>
                  </pic:spPr>
                </pic:pic>
              </a:graphicData>
            </a:graphic>
          </wp:inline>
        </w:drawing>
      </w:r>
    </w:p>
    <w:p w:rsidR="00997A6F" w:rsidRPr="00FD4C17" w:rsidRDefault="00FD4C17" w:rsidP="004B7AAC">
      <w:pPr>
        <w:jc w:val="both"/>
        <w:rPr>
          <w:rFonts w:ascii="Arial" w:hAnsi="Arial" w:cs="Arial"/>
          <w:sz w:val="16"/>
          <w:szCs w:val="16"/>
        </w:rPr>
      </w:pPr>
      <w:r w:rsidRPr="00FD4C17">
        <w:rPr>
          <w:rFonts w:ascii="Arial" w:hAnsi="Arial" w:cs="Arial"/>
          <w:sz w:val="16"/>
          <w:szCs w:val="16"/>
        </w:rPr>
        <w:t>Font: Nota informativa de l’Informe “Evolució salarial 2007-2013</w:t>
      </w:r>
      <w:r>
        <w:rPr>
          <w:rFonts w:ascii="Arial" w:hAnsi="Arial" w:cs="Arial"/>
          <w:sz w:val="16"/>
          <w:szCs w:val="16"/>
        </w:rPr>
        <w:t>. 7a edició</w:t>
      </w:r>
      <w:r w:rsidR="00374B21">
        <w:rPr>
          <w:rFonts w:ascii="Arial" w:hAnsi="Arial" w:cs="Arial"/>
          <w:sz w:val="16"/>
          <w:szCs w:val="16"/>
        </w:rPr>
        <w:t>.</w:t>
      </w:r>
      <w:r>
        <w:rPr>
          <w:rFonts w:ascii="Arial" w:hAnsi="Arial" w:cs="Arial"/>
          <w:sz w:val="16"/>
          <w:szCs w:val="16"/>
        </w:rPr>
        <w:t xml:space="preserve"> Informe de Retribucions”</w:t>
      </w:r>
      <w:r w:rsidRPr="00FD4C17">
        <w:rPr>
          <w:rFonts w:ascii="Arial" w:hAnsi="Arial" w:cs="Arial"/>
          <w:sz w:val="16"/>
          <w:szCs w:val="16"/>
        </w:rPr>
        <w:t xml:space="preserve"> EADA</w:t>
      </w:r>
      <w:r w:rsidR="00931C90">
        <w:rPr>
          <w:rFonts w:ascii="Arial" w:hAnsi="Arial" w:cs="Arial"/>
          <w:sz w:val="16"/>
          <w:szCs w:val="16"/>
        </w:rPr>
        <w:t xml:space="preserve"> </w:t>
      </w:r>
      <w:r w:rsidRPr="00FD4C17">
        <w:rPr>
          <w:rFonts w:ascii="Arial" w:hAnsi="Arial" w:cs="Arial"/>
          <w:sz w:val="16"/>
          <w:szCs w:val="16"/>
        </w:rPr>
        <w:t>i ICSA</w:t>
      </w:r>
      <w:r>
        <w:rPr>
          <w:rFonts w:ascii="Arial" w:hAnsi="Arial" w:cs="Arial"/>
          <w:sz w:val="16"/>
          <w:szCs w:val="16"/>
        </w:rPr>
        <w:t>, febrer del 2014.</w:t>
      </w:r>
    </w:p>
    <w:p w:rsidR="00DC3B83" w:rsidRPr="00AA2BE1" w:rsidRDefault="00DC3B83" w:rsidP="004B7AAC">
      <w:pPr>
        <w:jc w:val="both"/>
        <w:rPr>
          <w:rFonts w:ascii="Arial" w:hAnsi="Arial" w:cs="Arial"/>
        </w:rPr>
      </w:pPr>
    </w:p>
    <w:p w:rsidR="006A3DB1" w:rsidRPr="006A3DB1" w:rsidRDefault="000E39FD" w:rsidP="00AA2BE1">
      <w:pPr>
        <w:pStyle w:val="Prrafodelista1"/>
        <w:spacing w:after="200" w:line="360" w:lineRule="auto"/>
        <w:ind w:left="0"/>
        <w:contextualSpacing w:val="0"/>
        <w:rPr>
          <w:rFonts w:ascii="Arial" w:hAnsi="Arial" w:cs="Arial"/>
          <w:b/>
          <w:sz w:val="24"/>
          <w:szCs w:val="24"/>
        </w:rPr>
      </w:pPr>
      <w:r>
        <w:rPr>
          <w:rFonts w:ascii="Arial" w:hAnsi="Arial" w:cs="Arial"/>
          <w:b/>
          <w:sz w:val="24"/>
          <w:szCs w:val="24"/>
        </w:rPr>
        <w:t>6.5</w:t>
      </w:r>
      <w:r w:rsidR="007911AC">
        <w:rPr>
          <w:rFonts w:ascii="Arial" w:hAnsi="Arial" w:cs="Arial"/>
          <w:b/>
          <w:sz w:val="24"/>
          <w:szCs w:val="24"/>
        </w:rPr>
        <w:t>.</w:t>
      </w:r>
      <w:r w:rsidR="006A3DB1" w:rsidRPr="006A3DB1">
        <w:rPr>
          <w:rFonts w:ascii="Arial" w:hAnsi="Arial" w:cs="Arial"/>
          <w:b/>
          <w:sz w:val="24"/>
          <w:szCs w:val="24"/>
        </w:rPr>
        <w:t>Salarització i bretxa salarial entre homes i dones</w:t>
      </w:r>
    </w:p>
    <w:p w:rsidR="006C37E9" w:rsidRPr="000D4044" w:rsidRDefault="006C37E9" w:rsidP="006C37E9">
      <w:pPr>
        <w:jc w:val="both"/>
        <w:rPr>
          <w:rFonts w:ascii="Arial" w:hAnsi="Arial" w:cs="Arial"/>
        </w:rPr>
      </w:pPr>
      <w:r w:rsidRPr="000D4044">
        <w:rPr>
          <w:rFonts w:ascii="Arial" w:hAnsi="Arial" w:cs="Arial"/>
        </w:rPr>
        <w:t>La taxa de salarització femenina és superior a la masculina i fins el 2013, mostra una tendència descendent lleugerament més pronunciada que en el cas dels homes, sobretot en els darrers dos anys. En el 2014 però la taxa femenina es manté mentre la masculina continua reduint-se la qual cosa fa que la diferència entre ambdós sexe</w:t>
      </w:r>
      <w:r w:rsidR="00DE23CA">
        <w:rPr>
          <w:rFonts w:ascii="Arial" w:hAnsi="Arial" w:cs="Arial"/>
        </w:rPr>
        <w:t>s</w:t>
      </w:r>
      <w:r w:rsidRPr="000D4044">
        <w:rPr>
          <w:rFonts w:ascii="Arial" w:hAnsi="Arial" w:cs="Arial"/>
        </w:rPr>
        <w:t xml:space="preserve"> augmenti.</w:t>
      </w:r>
    </w:p>
    <w:p w:rsidR="006C37E9" w:rsidRPr="000D4044" w:rsidRDefault="006C37E9" w:rsidP="006C37E9">
      <w:pPr>
        <w:jc w:val="both"/>
        <w:rPr>
          <w:rFonts w:ascii="Arial" w:hAnsi="Arial" w:cs="Arial"/>
        </w:rPr>
      </w:pPr>
      <w:r w:rsidRPr="000D4044">
        <w:rPr>
          <w:rFonts w:ascii="Arial" w:hAnsi="Arial" w:cs="Arial"/>
        </w:rPr>
        <w:t>La taxa de salarització per edats mostra poques variacions en els tres grups d’edat. Els joves</w:t>
      </w:r>
      <w:r w:rsidR="00C667CD">
        <w:rPr>
          <w:rFonts w:ascii="Arial" w:hAnsi="Arial" w:cs="Arial"/>
        </w:rPr>
        <w:t xml:space="preserve"> de 16 a 24 anys</w:t>
      </w:r>
      <w:r w:rsidRPr="000D4044">
        <w:rPr>
          <w:rFonts w:ascii="Arial" w:hAnsi="Arial" w:cs="Arial"/>
        </w:rPr>
        <w:t xml:space="preserve"> inicien una lleugera recuperació a finals del 2014, mentre el grup central porta 3 anys de reducció i el de més edat</w:t>
      </w:r>
      <w:r>
        <w:rPr>
          <w:rFonts w:ascii="Arial" w:hAnsi="Arial" w:cs="Arial"/>
        </w:rPr>
        <w:t>, al contrari, presenta un increment</w:t>
      </w:r>
      <w:r w:rsidRPr="000D4044">
        <w:rPr>
          <w:rFonts w:ascii="Arial" w:hAnsi="Arial" w:cs="Arial"/>
        </w:rPr>
        <w:t xml:space="preserve"> de la salarització.</w:t>
      </w:r>
    </w:p>
    <w:p w:rsidR="006C37E9" w:rsidRPr="000D4044" w:rsidRDefault="006C37E9" w:rsidP="00DE23CA">
      <w:pPr>
        <w:jc w:val="both"/>
        <w:rPr>
          <w:rFonts w:ascii="Arial" w:hAnsi="Arial" w:cs="Arial"/>
        </w:rPr>
      </w:pPr>
      <w:r w:rsidRPr="000D4044">
        <w:rPr>
          <w:rFonts w:ascii="Arial" w:hAnsi="Arial" w:cs="Arial"/>
        </w:rPr>
        <w:t>S’incrementa sensiblement la bretxa salarial entre homes i dones a Catalunya entre el 2007 i el 2012 del 17,1% al 20,2%, gairebé 4 punts per sobre de la mitjana europea.</w:t>
      </w:r>
    </w:p>
    <w:p w:rsidR="00592786" w:rsidRDefault="00592786">
      <w:pPr>
        <w:spacing w:after="0" w:line="240" w:lineRule="auto"/>
        <w:rPr>
          <w:rFonts w:ascii="Arial" w:hAnsi="Arial" w:cs="Arial"/>
        </w:rPr>
      </w:pPr>
      <w:r>
        <w:rPr>
          <w:rFonts w:ascii="Arial" w:hAnsi="Arial" w:cs="Arial"/>
        </w:rPr>
        <w:br w:type="page"/>
      </w:r>
    </w:p>
    <w:p w:rsidR="00653D55" w:rsidRPr="00AA2BE1" w:rsidRDefault="00653D55" w:rsidP="004B7AAC">
      <w:pPr>
        <w:pStyle w:val="Prrafodelista1"/>
        <w:spacing w:after="200" w:line="360" w:lineRule="auto"/>
        <w:ind w:left="0"/>
        <w:contextualSpacing w:val="0"/>
        <w:rPr>
          <w:rFonts w:ascii="Arial" w:hAnsi="Arial" w:cs="Arial"/>
        </w:rPr>
      </w:pPr>
    </w:p>
    <w:p w:rsidR="006C37E9" w:rsidRPr="000D4044" w:rsidRDefault="006C37E9" w:rsidP="004B7AAC">
      <w:pPr>
        <w:pStyle w:val="Prrafodelista1"/>
        <w:ind w:left="0"/>
        <w:jc w:val="left"/>
        <w:rPr>
          <w:rFonts w:ascii="Arial" w:hAnsi="Arial" w:cs="Arial"/>
          <w:b/>
          <w:sz w:val="20"/>
          <w:szCs w:val="20"/>
        </w:rPr>
      </w:pPr>
      <w:r w:rsidRPr="000D4044">
        <w:rPr>
          <w:rFonts w:ascii="Arial" w:hAnsi="Arial" w:cs="Arial"/>
          <w:b/>
          <w:sz w:val="20"/>
          <w:szCs w:val="20"/>
        </w:rPr>
        <w:t>Taxa de salarització per sexes a Catalunya. Mitjanes anuals</w:t>
      </w:r>
    </w:p>
    <w:p w:rsidR="006C37E9" w:rsidRPr="004B7AAC" w:rsidRDefault="006C37E9" w:rsidP="006C37E9">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81500" cy="2600325"/>
            <wp:effectExtent l="19050" t="0" r="19050" b="0"/>
            <wp:docPr id="8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6C37E9" w:rsidRPr="000D4044" w:rsidRDefault="006C37E9" w:rsidP="004B7AAC">
      <w:pPr>
        <w:pStyle w:val="Prrafodelista1"/>
        <w:spacing w:after="200" w:line="360" w:lineRule="auto"/>
        <w:ind w:left="0"/>
        <w:contextualSpacing w:val="0"/>
        <w:jc w:val="left"/>
        <w:rPr>
          <w:rFonts w:ascii="Arial" w:hAnsi="Arial" w:cs="Arial"/>
          <w:sz w:val="16"/>
          <w:szCs w:val="16"/>
        </w:rPr>
      </w:pPr>
      <w:r w:rsidRPr="000D4044">
        <w:rPr>
          <w:rFonts w:ascii="Arial" w:hAnsi="Arial" w:cs="Arial"/>
          <w:sz w:val="16"/>
          <w:szCs w:val="16"/>
        </w:rPr>
        <w:t>Font: Enquesta de Població Activa de l’INE.</w:t>
      </w:r>
    </w:p>
    <w:p w:rsidR="006C37E9" w:rsidRPr="00AA2BE1" w:rsidRDefault="006C37E9" w:rsidP="004B7AAC">
      <w:pPr>
        <w:pStyle w:val="Prrafodelista1"/>
        <w:spacing w:after="200" w:line="360" w:lineRule="auto"/>
        <w:ind w:left="0"/>
        <w:contextualSpacing w:val="0"/>
        <w:rPr>
          <w:rFonts w:ascii="Arial" w:hAnsi="Arial" w:cs="Arial"/>
        </w:rPr>
      </w:pPr>
    </w:p>
    <w:p w:rsidR="006C37E9" w:rsidRPr="000D4044" w:rsidRDefault="006C37E9" w:rsidP="004B7AAC">
      <w:pPr>
        <w:pStyle w:val="Prrafodelista1"/>
        <w:ind w:left="0"/>
        <w:jc w:val="left"/>
        <w:rPr>
          <w:rFonts w:ascii="Arial" w:hAnsi="Arial" w:cs="Arial"/>
          <w:b/>
          <w:sz w:val="20"/>
          <w:szCs w:val="20"/>
        </w:rPr>
      </w:pPr>
      <w:r w:rsidRPr="000D4044">
        <w:rPr>
          <w:rFonts w:ascii="Arial" w:hAnsi="Arial" w:cs="Arial"/>
          <w:b/>
          <w:sz w:val="20"/>
          <w:szCs w:val="20"/>
        </w:rPr>
        <w:t>Taxa de salarització per edats a Catalunya. 4t trimestre de cada any</w:t>
      </w:r>
    </w:p>
    <w:p w:rsidR="006C37E9" w:rsidRPr="004B7AAC" w:rsidRDefault="006C37E9" w:rsidP="006C37E9">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362450" cy="2743200"/>
            <wp:effectExtent l="19050" t="0" r="19050" b="0"/>
            <wp:docPr id="8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6C37E9" w:rsidRPr="000D4044" w:rsidRDefault="006C37E9" w:rsidP="00AD678E">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Enquesta de Població Activa de l’INE.</w:t>
      </w:r>
    </w:p>
    <w:p w:rsidR="006C37E9" w:rsidRPr="00AA2BE1" w:rsidRDefault="006C37E9" w:rsidP="00AD678E">
      <w:pPr>
        <w:pStyle w:val="Prrafodelista1"/>
        <w:spacing w:after="200" w:line="360" w:lineRule="auto"/>
        <w:ind w:left="0"/>
        <w:contextualSpacing w:val="0"/>
        <w:rPr>
          <w:rFonts w:ascii="Arial" w:hAnsi="Arial" w:cs="Arial"/>
        </w:rPr>
      </w:pPr>
    </w:p>
    <w:p w:rsidR="006C37E9" w:rsidRPr="00AA2BE1" w:rsidRDefault="006C37E9" w:rsidP="00AD678E">
      <w:pPr>
        <w:pStyle w:val="Prrafodelista1"/>
        <w:spacing w:after="200" w:line="360" w:lineRule="auto"/>
        <w:ind w:left="0"/>
        <w:contextualSpacing w:val="0"/>
        <w:rPr>
          <w:rFonts w:ascii="Arial" w:hAnsi="Arial" w:cs="Arial"/>
        </w:rPr>
      </w:pPr>
    </w:p>
    <w:p w:rsidR="00653D55" w:rsidRPr="00AA2BE1" w:rsidRDefault="00DC3B83" w:rsidP="00DC3B83">
      <w:pPr>
        <w:spacing w:after="0" w:line="240" w:lineRule="auto"/>
        <w:rPr>
          <w:rFonts w:ascii="Arial" w:hAnsi="Arial" w:cs="Arial"/>
        </w:rPr>
      </w:pPr>
      <w:r>
        <w:rPr>
          <w:rFonts w:ascii="Arial" w:hAnsi="Arial" w:cs="Arial"/>
        </w:rPr>
        <w:br w:type="page"/>
      </w:r>
    </w:p>
    <w:p w:rsidR="006C37E9" w:rsidRPr="000D4044" w:rsidRDefault="006C37E9" w:rsidP="00CB6A22">
      <w:pPr>
        <w:pStyle w:val="Prrafodelista1"/>
        <w:ind w:left="0"/>
        <w:jc w:val="left"/>
        <w:rPr>
          <w:rFonts w:ascii="Arial" w:hAnsi="Arial" w:cs="Arial"/>
          <w:b/>
          <w:sz w:val="20"/>
          <w:szCs w:val="20"/>
        </w:rPr>
      </w:pPr>
      <w:r w:rsidRPr="000D4044">
        <w:rPr>
          <w:rFonts w:ascii="Arial" w:hAnsi="Arial" w:cs="Arial"/>
          <w:b/>
          <w:sz w:val="20"/>
          <w:szCs w:val="20"/>
        </w:rPr>
        <w:lastRenderedPageBreak/>
        <w:t>Bretxa salarial entre homes i dones</w:t>
      </w:r>
    </w:p>
    <w:p w:rsidR="006C37E9" w:rsidRPr="00CB6A22" w:rsidRDefault="006C37E9" w:rsidP="006C37E9">
      <w:pPr>
        <w:pStyle w:val="Prrafodelista1"/>
        <w:ind w:left="0"/>
        <w:rPr>
          <w:rFonts w:ascii="Arial" w:hAnsi="Arial" w:cs="Arial"/>
          <w:sz w:val="16"/>
          <w:szCs w:val="16"/>
        </w:rPr>
      </w:pPr>
      <w:r w:rsidRPr="000D4044">
        <w:rPr>
          <w:rFonts w:ascii="Arial" w:hAnsi="Arial" w:cs="Arial"/>
          <w:noProof/>
          <w:lang w:eastAsia="ca-ES"/>
        </w:rPr>
        <w:drawing>
          <wp:inline distT="0" distB="0" distL="0" distR="0">
            <wp:extent cx="4476750" cy="2628900"/>
            <wp:effectExtent l="19050" t="0" r="19050" b="0"/>
            <wp:docPr id="96" name="Gráfico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6C37E9" w:rsidRPr="000D4044" w:rsidRDefault="006C37E9" w:rsidP="00CB6A22">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Idescat.</w:t>
      </w:r>
    </w:p>
    <w:p w:rsidR="00DC3B83" w:rsidRDefault="00DC3B83" w:rsidP="00CB6A22">
      <w:pPr>
        <w:spacing w:line="360" w:lineRule="auto"/>
        <w:jc w:val="both"/>
        <w:rPr>
          <w:rFonts w:ascii="Arial" w:hAnsi="Arial" w:cs="Arial"/>
        </w:rPr>
      </w:pPr>
    </w:p>
    <w:p w:rsidR="00734A08" w:rsidRDefault="00734A08" w:rsidP="00AA2BE1">
      <w:pPr>
        <w:spacing w:line="360" w:lineRule="auto"/>
        <w:jc w:val="both"/>
        <w:rPr>
          <w:rFonts w:ascii="Arial" w:hAnsi="Arial" w:cs="Arial"/>
          <w:b/>
          <w:sz w:val="24"/>
          <w:szCs w:val="24"/>
        </w:rPr>
      </w:pPr>
      <w:r>
        <w:rPr>
          <w:rFonts w:ascii="Arial" w:hAnsi="Arial" w:cs="Arial"/>
          <w:b/>
          <w:sz w:val="24"/>
          <w:szCs w:val="24"/>
        </w:rPr>
        <w:t>6.6</w:t>
      </w:r>
      <w:r w:rsidR="007911AC">
        <w:rPr>
          <w:rFonts w:ascii="Arial" w:hAnsi="Arial" w:cs="Arial"/>
          <w:b/>
          <w:sz w:val="24"/>
          <w:szCs w:val="24"/>
        </w:rPr>
        <w:t>.</w:t>
      </w:r>
      <w:r>
        <w:rPr>
          <w:rFonts w:ascii="Arial" w:hAnsi="Arial" w:cs="Arial"/>
          <w:b/>
          <w:sz w:val="24"/>
          <w:szCs w:val="24"/>
        </w:rPr>
        <w:t xml:space="preserve"> Risc de pobresa en el treball</w:t>
      </w:r>
    </w:p>
    <w:p w:rsidR="006C37E9" w:rsidRPr="000D4044" w:rsidRDefault="006C37E9" w:rsidP="006C37E9">
      <w:pPr>
        <w:jc w:val="both"/>
        <w:rPr>
          <w:rFonts w:ascii="Arial" w:hAnsi="Arial" w:cs="Arial"/>
        </w:rPr>
      </w:pPr>
      <w:r w:rsidRPr="000D4044">
        <w:rPr>
          <w:rFonts w:ascii="Arial" w:hAnsi="Arial" w:cs="Arial"/>
        </w:rPr>
        <w:t>La taxa de risc de pobresa en el treball és un indicador que mostra la proporció de persones que van treballar almenys set mesos durant l’any de referència de la renda i tenen una renda disponible equivalent per sota del llindar de risc a la pobresa.</w:t>
      </w:r>
    </w:p>
    <w:p w:rsidR="006C37E9" w:rsidRPr="000D4044" w:rsidRDefault="006C37E9" w:rsidP="006C37E9">
      <w:pPr>
        <w:jc w:val="both"/>
        <w:rPr>
          <w:rFonts w:ascii="Arial" w:hAnsi="Arial" w:cs="Arial"/>
        </w:rPr>
      </w:pPr>
      <w:r w:rsidRPr="000D4044">
        <w:rPr>
          <w:rFonts w:ascii="Arial" w:hAnsi="Arial" w:cs="Arial"/>
        </w:rPr>
        <w:t>Pel que fa a Catalunya i comparant l’any 2008 (inici de la crisi) i el 201</w:t>
      </w:r>
      <w:r w:rsidR="00392029">
        <w:rPr>
          <w:rFonts w:ascii="Arial" w:hAnsi="Arial" w:cs="Arial"/>
        </w:rPr>
        <w:t>4</w:t>
      </w:r>
      <w:r w:rsidRPr="000D4044">
        <w:rPr>
          <w:rFonts w:ascii="Arial" w:hAnsi="Arial" w:cs="Arial"/>
        </w:rPr>
        <w:t xml:space="preserve"> (últimes dades disponibles) aquesta taxa ha passat del 8,6% al 1</w:t>
      </w:r>
      <w:r w:rsidR="00392029">
        <w:rPr>
          <w:rFonts w:ascii="Arial" w:hAnsi="Arial" w:cs="Arial"/>
        </w:rPr>
        <w:t>1,7</w:t>
      </w:r>
      <w:r w:rsidRPr="000D4044">
        <w:rPr>
          <w:rFonts w:ascii="Arial" w:hAnsi="Arial" w:cs="Arial"/>
        </w:rPr>
        <w:t>%. És a dir que hi ha un 1</w:t>
      </w:r>
      <w:r w:rsidR="00392029">
        <w:rPr>
          <w:rFonts w:ascii="Arial" w:hAnsi="Arial" w:cs="Arial"/>
        </w:rPr>
        <w:t>1</w:t>
      </w:r>
      <w:r w:rsidRPr="000D4044">
        <w:rPr>
          <w:rFonts w:ascii="Arial" w:hAnsi="Arial" w:cs="Arial"/>
        </w:rPr>
        <w:t>,</w:t>
      </w:r>
      <w:r w:rsidR="00392029">
        <w:rPr>
          <w:rFonts w:ascii="Arial" w:hAnsi="Arial" w:cs="Arial"/>
        </w:rPr>
        <w:t>7</w:t>
      </w:r>
      <w:r w:rsidRPr="000D4044">
        <w:rPr>
          <w:rFonts w:ascii="Arial" w:hAnsi="Arial" w:cs="Arial"/>
        </w:rPr>
        <w:t xml:space="preserve">% de treballadors/res pobres, una xifra superior en més de </w:t>
      </w:r>
      <w:r w:rsidR="00392029">
        <w:rPr>
          <w:rFonts w:ascii="Arial" w:hAnsi="Arial" w:cs="Arial"/>
        </w:rPr>
        <w:t>2</w:t>
      </w:r>
      <w:r w:rsidR="00653D55">
        <w:rPr>
          <w:rFonts w:ascii="Arial" w:hAnsi="Arial" w:cs="Arial"/>
        </w:rPr>
        <w:t xml:space="preserve"> punts a la de la Unió Europea.</w:t>
      </w:r>
    </w:p>
    <w:p w:rsidR="00DC3B83" w:rsidRDefault="00DC3B83" w:rsidP="00CB6A22">
      <w:pPr>
        <w:spacing w:after="0" w:line="240" w:lineRule="auto"/>
        <w:rPr>
          <w:b/>
        </w:rPr>
      </w:pPr>
    </w:p>
    <w:p w:rsidR="00592786" w:rsidRDefault="00592786" w:rsidP="00CB6A22">
      <w:pPr>
        <w:spacing w:after="0" w:line="240" w:lineRule="auto"/>
        <w:rPr>
          <w:b/>
        </w:rPr>
      </w:pPr>
    </w:p>
    <w:p w:rsidR="006C37E9" w:rsidRPr="000D4044" w:rsidRDefault="006C37E9" w:rsidP="00CB6A22">
      <w:pPr>
        <w:spacing w:after="0" w:line="240" w:lineRule="auto"/>
        <w:rPr>
          <w:b/>
        </w:rPr>
      </w:pPr>
      <w:r w:rsidRPr="000D4044">
        <w:rPr>
          <w:b/>
        </w:rPr>
        <w:t>Taxa de risc de pobresa en el treball. 2008 i 201</w:t>
      </w:r>
      <w:r w:rsidR="00C1041E">
        <w:rPr>
          <w:b/>
        </w:rPr>
        <w:t>4</w:t>
      </w:r>
    </w:p>
    <w:tbl>
      <w:tblPr>
        <w:tblStyle w:val="Sombreadoclaro-nfasis11"/>
        <w:tblW w:w="5000" w:type="pct"/>
        <w:tblLook w:val="04A0" w:firstRow="1" w:lastRow="0" w:firstColumn="1" w:lastColumn="0" w:noHBand="0" w:noVBand="1"/>
      </w:tblPr>
      <w:tblGrid>
        <w:gridCol w:w="3801"/>
        <w:gridCol w:w="2460"/>
        <w:gridCol w:w="2459"/>
      </w:tblGrid>
      <w:tr w:rsidR="006C37E9" w:rsidRPr="00DC3B83" w:rsidTr="00CB6A2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79" w:type="pct"/>
            <w:noWrap/>
            <w:hideMark/>
          </w:tcPr>
          <w:p w:rsidR="006C37E9" w:rsidRPr="00DC3B83" w:rsidRDefault="006C37E9" w:rsidP="006C37E9">
            <w:pPr>
              <w:spacing w:after="0" w:line="240" w:lineRule="auto"/>
              <w:rPr>
                <w:rFonts w:eastAsia="Times New Roman"/>
                <w:color w:val="auto"/>
                <w:lang w:eastAsia="ca-ES"/>
              </w:rPr>
            </w:pPr>
            <w:r w:rsidRPr="00DC3B83">
              <w:rPr>
                <w:rFonts w:eastAsia="Times New Roman"/>
                <w:color w:val="auto"/>
                <w:lang w:eastAsia="ca-ES"/>
              </w:rPr>
              <w:t> </w:t>
            </w:r>
          </w:p>
        </w:tc>
        <w:tc>
          <w:tcPr>
            <w:tcW w:w="1410" w:type="pct"/>
            <w:noWrap/>
            <w:vAlign w:val="center"/>
            <w:hideMark/>
          </w:tcPr>
          <w:p w:rsidR="006C37E9" w:rsidRPr="00DC3B83" w:rsidRDefault="006C37E9" w:rsidP="00CB6A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ca-ES"/>
              </w:rPr>
            </w:pPr>
            <w:r w:rsidRPr="00DC3B83">
              <w:rPr>
                <w:rFonts w:eastAsia="Times New Roman"/>
                <w:color w:val="auto"/>
                <w:lang w:eastAsia="ca-ES"/>
              </w:rPr>
              <w:t>2008</w:t>
            </w:r>
          </w:p>
        </w:tc>
        <w:tc>
          <w:tcPr>
            <w:tcW w:w="1410" w:type="pct"/>
            <w:noWrap/>
            <w:vAlign w:val="center"/>
            <w:hideMark/>
          </w:tcPr>
          <w:p w:rsidR="006C37E9" w:rsidRPr="00DC3B83" w:rsidRDefault="006C37E9" w:rsidP="00FE57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ca-ES"/>
              </w:rPr>
            </w:pPr>
            <w:r w:rsidRPr="00DC3B83">
              <w:rPr>
                <w:rFonts w:eastAsia="Times New Roman"/>
                <w:color w:val="auto"/>
                <w:lang w:eastAsia="ca-ES"/>
              </w:rPr>
              <w:t>201</w:t>
            </w:r>
            <w:r w:rsidR="00FE5741">
              <w:rPr>
                <w:rFonts w:eastAsia="Times New Roman"/>
                <w:color w:val="auto"/>
                <w:lang w:eastAsia="ca-ES"/>
              </w:rPr>
              <w:t>4</w:t>
            </w:r>
            <w:r w:rsidRPr="00DC3B83">
              <w:rPr>
                <w:rFonts w:eastAsia="Times New Roman"/>
                <w:color w:val="auto"/>
                <w:sz w:val="16"/>
                <w:szCs w:val="16"/>
                <w:lang w:eastAsia="ca-ES"/>
              </w:rPr>
              <w:t>(2)</w:t>
            </w:r>
          </w:p>
        </w:tc>
      </w:tr>
      <w:tr w:rsidR="006C37E9" w:rsidRPr="00DC3B83" w:rsidTr="00CB6A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9" w:type="pct"/>
            <w:noWrap/>
            <w:vAlign w:val="center"/>
            <w:hideMark/>
          </w:tcPr>
          <w:p w:rsidR="006C37E9" w:rsidRPr="00DC3B83" w:rsidRDefault="006C37E9" w:rsidP="00CB6A22">
            <w:pPr>
              <w:spacing w:after="0" w:line="240" w:lineRule="auto"/>
              <w:jc w:val="left"/>
              <w:rPr>
                <w:rFonts w:eastAsia="Times New Roman"/>
                <w:color w:val="auto"/>
                <w:lang w:eastAsia="ca-ES"/>
              </w:rPr>
            </w:pPr>
            <w:r w:rsidRPr="00DC3B83">
              <w:rPr>
                <w:rFonts w:eastAsia="Times New Roman"/>
                <w:color w:val="auto"/>
                <w:lang w:eastAsia="ca-ES"/>
              </w:rPr>
              <w:t>Catalunya</w:t>
            </w:r>
          </w:p>
        </w:tc>
        <w:tc>
          <w:tcPr>
            <w:tcW w:w="1410" w:type="pct"/>
            <w:noWrap/>
            <w:vAlign w:val="center"/>
            <w:hideMark/>
          </w:tcPr>
          <w:p w:rsidR="006C37E9" w:rsidRPr="00DC3B83" w:rsidRDefault="006C37E9" w:rsidP="00CB6A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sidRPr="00DC3B83">
              <w:rPr>
                <w:rFonts w:eastAsia="Times New Roman"/>
                <w:color w:val="auto"/>
                <w:lang w:eastAsia="ca-ES"/>
              </w:rPr>
              <w:t>8,6</w:t>
            </w:r>
          </w:p>
        </w:tc>
        <w:tc>
          <w:tcPr>
            <w:tcW w:w="1410" w:type="pct"/>
            <w:noWrap/>
            <w:vAlign w:val="center"/>
            <w:hideMark/>
          </w:tcPr>
          <w:p w:rsidR="006C37E9" w:rsidRPr="00DC3B83" w:rsidRDefault="006C37E9" w:rsidP="003920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lang w:eastAsia="ca-ES"/>
              </w:rPr>
            </w:pPr>
            <w:r w:rsidRPr="00DC3B83">
              <w:rPr>
                <w:rFonts w:eastAsia="Times New Roman"/>
                <w:color w:val="auto"/>
                <w:lang w:eastAsia="ca-ES"/>
              </w:rPr>
              <w:t>1</w:t>
            </w:r>
            <w:r w:rsidR="00392029">
              <w:rPr>
                <w:rFonts w:eastAsia="Times New Roman"/>
                <w:color w:val="auto"/>
                <w:lang w:eastAsia="ca-ES"/>
              </w:rPr>
              <w:t>1</w:t>
            </w:r>
            <w:r w:rsidRPr="00DC3B83">
              <w:rPr>
                <w:rFonts w:eastAsia="Times New Roman"/>
                <w:color w:val="auto"/>
                <w:lang w:eastAsia="ca-ES"/>
              </w:rPr>
              <w:t>,</w:t>
            </w:r>
            <w:r w:rsidR="00392029">
              <w:rPr>
                <w:rFonts w:eastAsia="Times New Roman"/>
                <w:color w:val="auto"/>
                <w:lang w:eastAsia="ca-ES"/>
              </w:rPr>
              <w:t>7</w:t>
            </w:r>
          </w:p>
        </w:tc>
      </w:tr>
      <w:tr w:rsidR="006C37E9" w:rsidRPr="00DC3B83" w:rsidTr="00CB6A22">
        <w:trPr>
          <w:trHeight w:val="300"/>
        </w:trPr>
        <w:tc>
          <w:tcPr>
            <w:cnfStyle w:val="001000000000" w:firstRow="0" w:lastRow="0" w:firstColumn="1" w:lastColumn="0" w:oddVBand="0" w:evenVBand="0" w:oddHBand="0" w:evenHBand="0" w:firstRowFirstColumn="0" w:firstRowLastColumn="0" w:lastRowFirstColumn="0" w:lastRowLastColumn="0"/>
            <w:tcW w:w="2179" w:type="pct"/>
            <w:noWrap/>
            <w:vAlign w:val="center"/>
            <w:hideMark/>
          </w:tcPr>
          <w:p w:rsidR="006C37E9" w:rsidRPr="00DC3B83" w:rsidRDefault="006C37E9" w:rsidP="00CB6A22">
            <w:pPr>
              <w:spacing w:after="0" w:line="240" w:lineRule="auto"/>
              <w:jc w:val="left"/>
              <w:rPr>
                <w:rFonts w:eastAsia="Times New Roman"/>
                <w:color w:val="auto"/>
                <w:lang w:eastAsia="ca-ES"/>
              </w:rPr>
            </w:pPr>
            <w:r w:rsidRPr="00DC3B83">
              <w:rPr>
                <w:rFonts w:eastAsia="Times New Roman"/>
                <w:color w:val="auto"/>
                <w:lang w:eastAsia="ca-ES"/>
              </w:rPr>
              <w:t>Espanya</w:t>
            </w:r>
          </w:p>
        </w:tc>
        <w:tc>
          <w:tcPr>
            <w:tcW w:w="1410" w:type="pct"/>
            <w:noWrap/>
            <w:vAlign w:val="center"/>
            <w:hideMark/>
          </w:tcPr>
          <w:p w:rsidR="006C37E9" w:rsidRPr="00DC3B83" w:rsidRDefault="006C37E9" w:rsidP="00CB6A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DC3B83">
              <w:rPr>
                <w:rFonts w:eastAsia="Times New Roman"/>
                <w:color w:val="auto"/>
                <w:lang w:eastAsia="ca-ES"/>
              </w:rPr>
              <w:t>11,1</w:t>
            </w:r>
          </w:p>
        </w:tc>
        <w:tc>
          <w:tcPr>
            <w:tcW w:w="1410" w:type="pct"/>
            <w:noWrap/>
            <w:vAlign w:val="center"/>
            <w:hideMark/>
          </w:tcPr>
          <w:p w:rsidR="006C37E9" w:rsidRPr="00DC3B83" w:rsidRDefault="006C37E9" w:rsidP="003920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lang w:eastAsia="ca-ES"/>
              </w:rPr>
            </w:pPr>
            <w:r w:rsidRPr="00DC3B83">
              <w:rPr>
                <w:rFonts w:eastAsia="Times New Roman"/>
                <w:color w:val="auto"/>
                <w:lang w:eastAsia="ca-ES"/>
              </w:rPr>
              <w:t>1</w:t>
            </w:r>
            <w:r w:rsidR="00392029">
              <w:rPr>
                <w:rFonts w:eastAsia="Times New Roman"/>
                <w:color w:val="auto"/>
                <w:lang w:eastAsia="ca-ES"/>
              </w:rPr>
              <w:t>2</w:t>
            </w:r>
            <w:r w:rsidRPr="00DC3B83">
              <w:rPr>
                <w:rFonts w:eastAsia="Times New Roman"/>
                <w:color w:val="auto"/>
                <w:lang w:eastAsia="ca-ES"/>
              </w:rPr>
              <w:t>,6</w:t>
            </w:r>
          </w:p>
        </w:tc>
      </w:tr>
      <w:tr w:rsidR="006C37E9" w:rsidRPr="00DC3B83" w:rsidTr="00CB6A2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79" w:type="pct"/>
            <w:noWrap/>
            <w:vAlign w:val="center"/>
            <w:hideMark/>
          </w:tcPr>
          <w:p w:rsidR="006C37E9" w:rsidRPr="00DC3B83" w:rsidRDefault="006C37E9" w:rsidP="00CB6A22">
            <w:pPr>
              <w:spacing w:after="0" w:line="240" w:lineRule="auto"/>
              <w:jc w:val="left"/>
              <w:rPr>
                <w:rFonts w:eastAsia="Times New Roman"/>
                <w:color w:val="auto"/>
                <w:lang w:eastAsia="ca-ES"/>
              </w:rPr>
            </w:pPr>
            <w:r w:rsidRPr="00DC3B83">
              <w:rPr>
                <w:rFonts w:eastAsia="Times New Roman"/>
                <w:color w:val="auto"/>
                <w:lang w:eastAsia="ca-ES"/>
              </w:rPr>
              <w:t>Unió Europea</w:t>
            </w:r>
          </w:p>
        </w:tc>
        <w:tc>
          <w:tcPr>
            <w:tcW w:w="1410" w:type="pct"/>
            <w:noWrap/>
            <w:vAlign w:val="center"/>
            <w:hideMark/>
          </w:tcPr>
          <w:p w:rsidR="006C37E9" w:rsidRPr="00DC3B83" w:rsidRDefault="006C37E9" w:rsidP="00CB6A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lang w:eastAsia="ca-ES"/>
              </w:rPr>
            </w:pPr>
            <w:r w:rsidRPr="00DC3B83">
              <w:rPr>
                <w:rFonts w:eastAsia="Times New Roman"/>
                <w:color w:val="auto"/>
                <w:sz w:val="16"/>
                <w:szCs w:val="16"/>
                <w:lang w:eastAsia="ca-ES"/>
              </w:rPr>
              <w:t>(1)</w:t>
            </w:r>
          </w:p>
        </w:tc>
        <w:tc>
          <w:tcPr>
            <w:tcW w:w="1410" w:type="pct"/>
            <w:noWrap/>
            <w:vAlign w:val="center"/>
            <w:hideMark/>
          </w:tcPr>
          <w:p w:rsidR="006C37E9" w:rsidRPr="00DC3B83" w:rsidRDefault="00392029" w:rsidP="003920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lang w:eastAsia="ca-ES"/>
              </w:rPr>
            </w:pPr>
            <w:r>
              <w:rPr>
                <w:rFonts w:eastAsia="Times New Roman"/>
                <w:color w:val="auto"/>
                <w:lang w:eastAsia="ca-ES"/>
              </w:rPr>
              <w:t>9,6</w:t>
            </w:r>
          </w:p>
        </w:tc>
      </w:tr>
    </w:tbl>
    <w:p w:rsidR="006C37E9" w:rsidRPr="000D4044" w:rsidRDefault="006C37E9" w:rsidP="00CB6A22">
      <w:pPr>
        <w:pStyle w:val="Prrafodelista1"/>
        <w:ind w:left="0"/>
        <w:rPr>
          <w:rFonts w:ascii="Arial" w:hAnsi="Arial" w:cs="Arial"/>
          <w:sz w:val="16"/>
          <w:szCs w:val="16"/>
        </w:rPr>
      </w:pPr>
      <w:r w:rsidRPr="000D4044">
        <w:rPr>
          <w:rFonts w:ascii="Arial" w:hAnsi="Arial" w:cs="Arial"/>
          <w:sz w:val="16"/>
          <w:szCs w:val="16"/>
        </w:rPr>
        <w:t>(1)</w:t>
      </w:r>
      <w:r w:rsidR="00EC75E2">
        <w:rPr>
          <w:rFonts w:ascii="Arial" w:hAnsi="Arial" w:cs="Arial"/>
          <w:sz w:val="16"/>
          <w:szCs w:val="16"/>
        </w:rPr>
        <w:t xml:space="preserve"> </w:t>
      </w:r>
      <w:r w:rsidRPr="000D4044">
        <w:rPr>
          <w:rFonts w:ascii="Arial" w:hAnsi="Arial" w:cs="Arial"/>
          <w:sz w:val="16"/>
          <w:szCs w:val="16"/>
        </w:rPr>
        <w:t>No està disponible la dada de la Unió Europea per al 2008</w:t>
      </w:r>
    </w:p>
    <w:p w:rsidR="006C37E9" w:rsidRPr="000D4044" w:rsidRDefault="006C37E9" w:rsidP="00CB6A22">
      <w:pPr>
        <w:spacing w:after="0" w:line="240" w:lineRule="auto"/>
        <w:jc w:val="both"/>
        <w:rPr>
          <w:rFonts w:ascii="Arial" w:hAnsi="Arial" w:cs="Arial"/>
          <w:sz w:val="16"/>
          <w:szCs w:val="16"/>
        </w:rPr>
      </w:pPr>
      <w:r w:rsidRPr="000D4044">
        <w:rPr>
          <w:rFonts w:ascii="Arial" w:hAnsi="Arial" w:cs="Arial"/>
          <w:sz w:val="16"/>
          <w:szCs w:val="16"/>
        </w:rPr>
        <w:t xml:space="preserve">(2) </w:t>
      </w:r>
      <w:r w:rsidR="00392029">
        <w:rPr>
          <w:rFonts w:ascii="Arial" w:hAnsi="Arial" w:cs="Arial"/>
          <w:sz w:val="16"/>
          <w:szCs w:val="16"/>
        </w:rPr>
        <w:t>Al</w:t>
      </w:r>
      <w:r w:rsidRPr="000D4044">
        <w:rPr>
          <w:rFonts w:ascii="Arial" w:hAnsi="Arial" w:cs="Arial"/>
          <w:sz w:val="16"/>
          <w:szCs w:val="16"/>
        </w:rPr>
        <w:t xml:space="preserve"> 2013 </w:t>
      </w:r>
      <w:r w:rsidR="00392029">
        <w:rPr>
          <w:rFonts w:ascii="Arial" w:hAnsi="Arial" w:cs="Arial"/>
          <w:sz w:val="16"/>
          <w:szCs w:val="16"/>
        </w:rPr>
        <w:t>a</w:t>
      </w:r>
      <w:r w:rsidRPr="000D4044">
        <w:rPr>
          <w:rFonts w:ascii="Arial" w:hAnsi="Arial" w:cs="Arial"/>
          <w:sz w:val="16"/>
          <w:szCs w:val="16"/>
        </w:rPr>
        <w:t xml:space="preserve"> Catalunya es produeix una ruptura de sèrie</w:t>
      </w:r>
    </w:p>
    <w:p w:rsidR="00B2349F" w:rsidRPr="006C37E9" w:rsidRDefault="006C37E9" w:rsidP="00CB6A22">
      <w:pPr>
        <w:pStyle w:val="Prrafodelista1"/>
        <w:spacing w:after="200" w:line="360" w:lineRule="auto"/>
        <w:ind w:left="0"/>
        <w:contextualSpacing w:val="0"/>
        <w:rPr>
          <w:rFonts w:ascii="Arial" w:hAnsi="Arial" w:cs="Arial"/>
          <w:sz w:val="16"/>
          <w:szCs w:val="16"/>
        </w:rPr>
      </w:pPr>
      <w:r w:rsidRPr="000D4044">
        <w:rPr>
          <w:rFonts w:ascii="Arial" w:hAnsi="Arial" w:cs="Arial"/>
          <w:sz w:val="16"/>
          <w:szCs w:val="16"/>
        </w:rPr>
        <w:t>Font: Idescat.</w:t>
      </w:r>
    </w:p>
    <w:p w:rsidR="00744C93" w:rsidRDefault="00744C93" w:rsidP="00CB6A22">
      <w:pPr>
        <w:pStyle w:val="Prrafodelista1"/>
        <w:spacing w:after="200" w:line="360" w:lineRule="auto"/>
        <w:ind w:left="0"/>
        <w:contextualSpacing w:val="0"/>
        <w:rPr>
          <w:rFonts w:ascii="Arial" w:hAnsi="Arial" w:cs="Arial"/>
        </w:rPr>
      </w:pPr>
    </w:p>
    <w:p w:rsidR="00744C93" w:rsidRDefault="00744C93" w:rsidP="00CB6A22">
      <w:pPr>
        <w:pStyle w:val="Prrafodelista1"/>
        <w:spacing w:after="200" w:line="360" w:lineRule="auto"/>
        <w:ind w:left="0"/>
        <w:contextualSpacing w:val="0"/>
        <w:rPr>
          <w:rFonts w:ascii="Arial" w:hAnsi="Arial" w:cs="Arial"/>
        </w:rPr>
      </w:pPr>
    </w:p>
    <w:p w:rsidR="00374B21" w:rsidRDefault="00374B21" w:rsidP="00CB6A22">
      <w:pPr>
        <w:pStyle w:val="Prrafodelista1"/>
        <w:spacing w:after="200" w:line="360" w:lineRule="auto"/>
        <w:ind w:left="0"/>
        <w:contextualSpacing w:val="0"/>
        <w:rPr>
          <w:rFonts w:ascii="Arial" w:hAnsi="Arial" w:cs="Arial"/>
        </w:rPr>
      </w:pPr>
    </w:p>
    <w:p w:rsidR="00374B21" w:rsidRDefault="00374B21" w:rsidP="00CB6A22">
      <w:pPr>
        <w:pStyle w:val="Prrafodelista1"/>
        <w:spacing w:after="200" w:line="360" w:lineRule="auto"/>
        <w:ind w:left="0"/>
        <w:contextualSpacing w:val="0"/>
        <w:rPr>
          <w:rFonts w:ascii="Arial" w:hAnsi="Arial" w:cs="Arial"/>
        </w:rPr>
      </w:pPr>
    </w:p>
    <w:p w:rsidR="00C1041E" w:rsidRDefault="00C1041E" w:rsidP="00CB6A22">
      <w:pPr>
        <w:pStyle w:val="Prrafodelista1"/>
        <w:spacing w:after="200" w:line="360" w:lineRule="auto"/>
        <w:ind w:left="0"/>
        <w:contextualSpacing w:val="0"/>
        <w:rPr>
          <w:rFonts w:ascii="Arial" w:hAnsi="Arial" w:cs="Arial"/>
        </w:rPr>
      </w:pPr>
    </w:p>
    <w:p w:rsidR="00E468E0" w:rsidRDefault="005A4E59" w:rsidP="00E468E0">
      <w:pPr>
        <w:numPr>
          <w:ilvl w:val="0"/>
          <w:numId w:val="13"/>
        </w:numPr>
        <w:jc w:val="both"/>
        <w:rPr>
          <w:rFonts w:ascii="Arial" w:hAnsi="Arial" w:cs="Arial"/>
          <w:b/>
          <w:sz w:val="28"/>
          <w:szCs w:val="28"/>
        </w:rPr>
      </w:pPr>
      <w:r w:rsidRPr="00E468E0">
        <w:rPr>
          <w:rFonts w:ascii="Arial" w:hAnsi="Arial" w:cs="Arial"/>
          <w:b/>
          <w:sz w:val="28"/>
          <w:szCs w:val="28"/>
        </w:rPr>
        <w:lastRenderedPageBreak/>
        <w:t>Resum</w:t>
      </w:r>
    </w:p>
    <w:p w:rsidR="00E468E0" w:rsidRPr="00744C93" w:rsidRDefault="00E468E0" w:rsidP="002A7658">
      <w:pPr>
        <w:jc w:val="both"/>
        <w:rPr>
          <w:rFonts w:ascii="Arial" w:hAnsi="Arial" w:cs="Arial"/>
        </w:rPr>
      </w:pPr>
    </w:p>
    <w:p w:rsidR="00E8339B" w:rsidRDefault="009F612B" w:rsidP="002A7658">
      <w:pPr>
        <w:jc w:val="both"/>
        <w:rPr>
          <w:rFonts w:ascii="Arial" w:hAnsi="Arial" w:cs="Arial"/>
          <w:b/>
          <w:sz w:val="24"/>
          <w:szCs w:val="24"/>
        </w:rPr>
      </w:pPr>
      <w:r>
        <w:rPr>
          <w:rFonts w:ascii="Arial" w:hAnsi="Arial" w:cs="Arial"/>
          <w:b/>
          <w:sz w:val="24"/>
          <w:szCs w:val="24"/>
        </w:rPr>
        <w:t>Menor d</w:t>
      </w:r>
      <w:r w:rsidR="00E8339B">
        <w:rPr>
          <w:rFonts w:ascii="Arial" w:hAnsi="Arial" w:cs="Arial"/>
          <w:b/>
          <w:sz w:val="24"/>
          <w:szCs w:val="24"/>
        </w:rPr>
        <w:t>espesa social</w:t>
      </w:r>
    </w:p>
    <w:p w:rsidR="00E8339B" w:rsidRPr="00E8339B" w:rsidRDefault="00E8339B" w:rsidP="007911AC">
      <w:pPr>
        <w:numPr>
          <w:ilvl w:val="0"/>
          <w:numId w:val="11"/>
        </w:numPr>
        <w:ind w:left="709" w:hanging="319"/>
        <w:jc w:val="both"/>
        <w:rPr>
          <w:rFonts w:ascii="Arial" w:hAnsi="Arial" w:cs="Arial"/>
          <w:b/>
          <w:sz w:val="24"/>
          <w:szCs w:val="24"/>
        </w:rPr>
      </w:pPr>
      <w:r>
        <w:rPr>
          <w:rFonts w:ascii="Arial" w:hAnsi="Arial" w:cs="Arial"/>
        </w:rPr>
        <w:t>Catalunya ha mantingut al llar</w:t>
      </w:r>
      <w:r w:rsidR="003800B6">
        <w:rPr>
          <w:rFonts w:ascii="Arial" w:hAnsi="Arial" w:cs="Arial"/>
        </w:rPr>
        <w:t>g</w:t>
      </w:r>
      <w:r>
        <w:rPr>
          <w:rFonts w:ascii="Arial" w:hAnsi="Arial" w:cs="Arial"/>
        </w:rPr>
        <w:t xml:space="preserve"> dels anys un esforç relatiu en despesa de protecció</w:t>
      </w:r>
      <w:r w:rsidR="0082530A">
        <w:rPr>
          <w:rFonts w:ascii="Arial" w:hAnsi="Arial" w:cs="Arial"/>
        </w:rPr>
        <w:t xml:space="preserve"> </w:t>
      </w:r>
      <w:r>
        <w:rPr>
          <w:rFonts w:ascii="Arial" w:hAnsi="Arial" w:cs="Arial"/>
        </w:rPr>
        <w:t>social significativament inferior a la major</w:t>
      </w:r>
      <w:r w:rsidR="009F612B">
        <w:rPr>
          <w:rFonts w:ascii="Arial" w:hAnsi="Arial" w:cs="Arial"/>
        </w:rPr>
        <w:t>ia de països de la Unió Europea</w:t>
      </w:r>
      <w:r>
        <w:rPr>
          <w:rFonts w:ascii="Arial" w:hAnsi="Arial" w:cs="Arial"/>
        </w:rPr>
        <w:t xml:space="preserve"> i</w:t>
      </w:r>
      <w:r w:rsidR="003800B6">
        <w:rPr>
          <w:rFonts w:ascii="Arial" w:hAnsi="Arial" w:cs="Arial"/>
        </w:rPr>
        <w:t xml:space="preserve"> fins i tot per sota </w:t>
      </w:r>
      <w:r>
        <w:rPr>
          <w:rFonts w:ascii="Arial" w:hAnsi="Arial" w:cs="Arial"/>
        </w:rPr>
        <w:t>d’Espanya.</w:t>
      </w:r>
    </w:p>
    <w:p w:rsidR="00E8339B" w:rsidRPr="00E8339B" w:rsidRDefault="00E8339B" w:rsidP="007911AC">
      <w:pPr>
        <w:numPr>
          <w:ilvl w:val="0"/>
          <w:numId w:val="11"/>
        </w:numPr>
        <w:ind w:left="709"/>
        <w:jc w:val="both"/>
        <w:rPr>
          <w:rFonts w:ascii="Arial" w:hAnsi="Arial" w:cs="Arial"/>
          <w:b/>
          <w:sz w:val="24"/>
          <w:szCs w:val="24"/>
        </w:rPr>
      </w:pPr>
      <w:r>
        <w:rPr>
          <w:rFonts w:ascii="Arial" w:hAnsi="Arial" w:cs="Arial"/>
        </w:rPr>
        <w:t>Les polítiques de retallades</w:t>
      </w:r>
      <w:r w:rsidR="003800B6">
        <w:rPr>
          <w:rFonts w:ascii="Arial" w:hAnsi="Arial" w:cs="Arial"/>
        </w:rPr>
        <w:t xml:space="preserve"> han fet caure</w:t>
      </w:r>
      <w:r w:rsidR="009A1C5D">
        <w:rPr>
          <w:rFonts w:ascii="Arial" w:hAnsi="Arial" w:cs="Arial"/>
        </w:rPr>
        <w:t xml:space="preserve"> </w:t>
      </w:r>
      <w:r w:rsidR="00595C83">
        <w:rPr>
          <w:rFonts w:ascii="Arial" w:hAnsi="Arial" w:cs="Arial"/>
        </w:rPr>
        <w:t xml:space="preserve">el pes de </w:t>
      </w:r>
      <w:r>
        <w:rPr>
          <w:rFonts w:ascii="Arial" w:hAnsi="Arial" w:cs="Arial"/>
        </w:rPr>
        <w:t>la despesa social en un context on les necessitats de protecció social s’increment</w:t>
      </w:r>
      <w:r w:rsidR="003800B6">
        <w:rPr>
          <w:rFonts w:ascii="Arial" w:hAnsi="Arial" w:cs="Arial"/>
        </w:rPr>
        <w:t>en</w:t>
      </w:r>
      <w:r>
        <w:rPr>
          <w:rFonts w:ascii="Arial" w:hAnsi="Arial" w:cs="Arial"/>
        </w:rPr>
        <w:t>.</w:t>
      </w:r>
    </w:p>
    <w:p w:rsidR="00E8339B" w:rsidRPr="0005475C" w:rsidRDefault="00E8339B" w:rsidP="007911AC">
      <w:pPr>
        <w:numPr>
          <w:ilvl w:val="0"/>
          <w:numId w:val="11"/>
        </w:numPr>
        <w:ind w:left="709"/>
        <w:jc w:val="both"/>
        <w:rPr>
          <w:rFonts w:ascii="Arial" w:hAnsi="Arial" w:cs="Arial"/>
          <w:b/>
          <w:sz w:val="24"/>
          <w:szCs w:val="24"/>
        </w:rPr>
      </w:pPr>
      <w:r>
        <w:rPr>
          <w:rFonts w:ascii="Arial" w:hAnsi="Arial" w:cs="Arial"/>
        </w:rPr>
        <w:t xml:space="preserve">La despesa pública en </w:t>
      </w:r>
      <w:r w:rsidR="003800B6">
        <w:rPr>
          <w:rFonts w:ascii="Arial" w:hAnsi="Arial" w:cs="Arial"/>
        </w:rPr>
        <w:t>educació</w:t>
      </w:r>
      <w:r>
        <w:rPr>
          <w:rFonts w:ascii="Arial" w:hAnsi="Arial" w:cs="Arial"/>
        </w:rPr>
        <w:t xml:space="preserve"> també ha estat històricament </w:t>
      </w:r>
      <w:r w:rsidR="003800B6">
        <w:rPr>
          <w:rFonts w:ascii="Arial" w:hAnsi="Arial" w:cs="Arial"/>
        </w:rPr>
        <w:t>per sota dels</w:t>
      </w:r>
      <w:r>
        <w:rPr>
          <w:rFonts w:ascii="Arial" w:hAnsi="Arial" w:cs="Arial"/>
        </w:rPr>
        <w:t xml:space="preserve"> nivells mitjan</w:t>
      </w:r>
      <w:smartTag w:uri="urn:schemas-microsoft-com:office:smarttags" w:element="PersonName">
        <w:r>
          <w:rPr>
            <w:rFonts w:ascii="Arial" w:hAnsi="Arial" w:cs="Arial"/>
          </w:rPr>
          <w:t>s e</w:t>
        </w:r>
      </w:smartTag>
      <w:r>
        <w:rPr>
          <w:rFonts w:ascii="Arial" w:hAnsi="Arial" w:cs="Arial"/>
        </w:rPr>
        <w:t>uropeus, la qual cosa afecta de forma particularment negativa a la igualtat d’oportunitats de la població més jove.</w:t>
      </w:r>
    </w:p>
    <w:p w:rsidR="0005475C" w:rsidRPr="00744C93" w:rsidRDefault="0005475C" w:rsidP="004A0C97">
      <w:pPr>
        <w:jc w:val="both"/>
        <w:rPr>
          <w:rFonts w:ascii="Arial" w:hAnsi="Arial" w:cs="Arial"/>
        </w:rPr>
      </w:pPr>
    </w:p>
    <w:p w:rsidR="003800B6" w:rsidRDefault="003800B6" w:rsidP="002A7658">
      <w:pPr>
        <w:jc w:val="both"/>
        <w:rPr>
          <w:rFonts w:ascii="Arial" w:hAnsi="Arial" w:cs="Arial"/>
          <w:b/>
          <w:sz w:val="24"/>
          <w:szCs w:val="24"/>
        </w:rPr>
      </w:pPr>
      <w:r>
        <w:rPr>
          <w:rFonts w:ascii="Arial" w:hAnsi="Arial" w:cs="Arial"/>
          <w:b/>
          <w:sz w:val="24"/>
          <w:szCs w:val="24"/>
        </w:rPr>
        <w:t>Pressió fiscal</w:t>
      </w:r>
      <w:r w:rsidR="008764DE">
        <w:rPr>
          <w:rFonts w:ascii="Arial" w:hAnsi="Arial" w:cs="Arial"/>
          <w:b/>
          <w:sz w:val="24"/>
          <w:szCs w:val="24"/>
        </w:rPr>
        <w:t xml:space="preserve"> per sota de la mitjana europea</w:t>
      </w:r>
    </w:p>
    <w:p w:rsidR="0005475C" w:rsidRDefault="00552543" w:rsidP="007911AC">
      <w:pPr>
        <w:numPr>
          <w:ilvl w:val="0"/>
          <w:numId w:val="11"/>
        </w:numPr>
        <w:ind w:left="709" w:hanging="319"/>
        <w:jc w:val="both"/>
        <w:rPr>
          <w:rFonts w:ascii="Arial" w:hAnsi="Arial" w:cs="Arial"/>
        </w:rPr>
      </w:pPr>
      <w:r>
        <w:rPr>
          <w:rFonts w:ascii="Arial" w:hAnsi="Arial" w:cs="Arial"/>
        </w:rPr>
        <w:t>La pres</w:t>
      </w:r>
      <w:r w:rsidR="00595C83">
        <w:rPr>
          <w:rFonts w:ascii="Arial" w:hAnsi="Arial" w:cs="Arial"/>
        </w:rPr>
        <w:t xml:space="preserve">sió fiscal a Catalunya està </w:t>
      </w:r>
      <w:r w:rsidR="00FE5741">
        <w:rPr>
          <w:rFonts w:ascii="Arial" w:hAnsi="Arial" w:cs="Arial"/>
        </w:rPr>
        <w:t>7,3</w:t>
      </w:r>
      <w:r w:rsidR="00595C83">
        <w:rPr>
          <w:rFonts w:ascii="Arial" w:hAnsi="Arial" w:cs="Arial"/>
        </w:rPr>
        <w:t xml:space="preserve"> punts per </w:t>
      </w:r>
      <w:r>
        <w:rPr>
          <w:rFonts w:ascii="Arial" w:hAnsi="Arial" w:cs="Arial"/>
        </w:rPr>
        <w:t>sota de la de la mitjan</w:t>
      </w:r>
      <w:r w:rsidR="00E426B9">
        <w:rPr>
          <w:rFonts w:ascii="Arial" w:hAnsi="Arial" w:cs="Arial"/>
        </w:rPr>
        <w:t>a</w:t>
      </w:r>
      <w:r>
        <w:rPr>
          <w:rFonts w:ascii="Arial" w:hAnsi="Arial" w:cs="Arial"/>
        </w:rPr>
        <w:t xml:space="preserve"> europea, la qual cos</w:t>
      </w:r>
      <w:r w:rsidR="00124C99">
        <w:rPr>
          <w:rFonts w:ascii="Arial" w:hAnsi="Arial" w:cs="Arial"/>
        </w:rPr>
        <w:t>a</w:t>
      </w:r>
      <w:r>
        <w:rPr>
          <w:rFonts w:ascii="Arial" w:hAnsi="Arial" w:cs="Arial"/>
        </w:rPr>
        <w:t xml:space="preserve"> limita la capacitat per implementar polítiques contra l</w:t>
      </w:r>
      <w:r w:rsidR="00124C99">
        <w:rPr>
          <w:rFonts w:ascii="Arial" w:hAnsi="Arial" w:cs="Arial"/>
        </w:rPr>
        <w:t xml:space="preserve">es </w:t>
      </w:r>
      <w:r>
        <w:rPr>
          <w:rFonts w:ascii="Arial" w:hAnsi="Arial" w:cs="Arial"/>
        </w:rPr>
        <w:t>desigualtat</w:t>
      </w:r>
      <w:r w:rsidR="00124C99">
        <w:rPr>
          <w:rFonts w:ascii="Arial" w:hAnsi="Arial" w:cs="Arial"/>
        </w:rPr>
        <w:t>s</w:t>
      </w:r>
      <w:r>
        <w:rPr>
          <w:rFonts w:ascii="Arial" w:hAnsi="Arial" w:cs="Arial"/>
        </w:rPr>
        <w:t xml:space="preserve"> social</w:t>
      </w:r>
      <w:r w:rsidR="00124C99">
        <w:rPr>
          <w:rFonts w:ascii="Arial" w:hAnsi="Arial" w:cs="Arial"/>
        </w:rPr>
        <w:t>s.</w:t>
      </w:r>
    </w:p>
    <w:p w:rsidR="00E426B9" w:rsidRDefault="00595C83" w:rsidP="007911AC">
      <w:pPr>
        <w:numPr>
          <w:ilvl w:val="0"/>
          <w:numId w:val="11"/>
        </w:numPr>
        <w:ind w:left="709" w:hanging="319"/>
        <w:jc w:val="both"/>
        <w:rPr>
          <w:rFonts w:ascii="Arial" w:hAnsi="Arial" w:cs="Arial"/>
        </w:rPr>
      </w:pPr>
      <w:r>
        <w:rPr>
          <w:rFonts w:ascii="Arial" w:hAnsi="Arial" w:cs="Arial"/>
        </w:rPr>
        <w:t xml:space="preserve">Des de l’inici </w:t>
      </w:r>
      <w:r w:rsidR="00552543">
        <w:rPr>
          <w:rFonts w:ascii="Arial" w:hAnsi="Arial" w:cs="Arial"/>
        </w:rPr>
        <w:t>de la crisi</w:t>
      </w:r>
      <w:r w:rsidR="00E426B9">
        <w:rPr>
          <w:rFonts w:ascii="Arial" w:hAnsi="Arial" w:cs="Arial"/>
        </w:rPr>
        <w:t>, la pressió fiscal s’ha reduït en 5,</w:t>
      </w:r>
      <w:r w:rsidR="009A1C5D">
        <w:rPr>
          <w:rFonts w:ascii="Arial" w:hAnsi="Arial" w:cs="Arial"/>
        </w:rPr>
        <w:t>2</w:t>
      </w:r>
      <w:r w:rsidR="00E426B9">
        <w:rPr>
          <w:rFonts w:ascii="Arial" w:hAnsi="Arial" w:cs="Arial"/>
        </w:rPr>
        <w:t xml:space="preserve"> punts percentuals, la caiguda més gran </w:t>
      </w:r>
      <w:r w:rsidR="00C2141D">
        <w:rPr>
          <w:rFonts w:ascii="Arial" w:hAnsi="Arial" w:cs="Arial"/>
        </w:rPr>
        <w:t>comparada</w:t>
      </w:r>
      <w:r w:rsidR="00E426B9">
        <w:rPr>
          <w:rFonts w:ascii="Arial" w:hAnsi="Arial" w:cs="Arial"/>
        </w:rPr>
        <w:t xml:space="preserve"> amb tots els països de la UE-2</w:t>
      </w:r>
      <w:r w:rsidR="009A1C5D">
        <w:rPr>
          <w:rFonts w:ascii="Arial" w:hAnsi="Arial" w:cs="Arial"/>
        </w:rPr>
        <w:t>8</w:t>
      </w:r>
      <w:r w:rsidR="00E426B9">
        <w:rPr>
          <w:rFonts w:ascii="Arial" w:hAnsi="Arial" w:cs="Arial"/>
        </w:rPr>
        <w:t xml:space="preserve">. Aquesta reducció ha recaigut principalment en la tributació directa, mentre que en la mitjana </w:t>
      </w:r>
      <w:r w:rsidR="00C2141D">
        <w:rPr>
          <w:rFonts w:ascii="Arial" w:hAnsi="Arial" w:cs="Arial"/>
        </w:rPr>
        <w:t xml:space="preserve">europea </w:t>
      </w:r>
      <w:r w:rsidR="00E426B9">
        <w:rPr>
          <w:rFonts w:ascii="Arial" w:hAnsi="Arial" w:cs="Arial"/>
        </w:rPr>
        <w:t>l’estructura impositiva s’ha mantingut relativament mé</w:t>
      </w:r>
      <w:smartTag w:uri="urn:schemas-microsoft-com:office:smarttags" w:element="PersonName">
        <w:r w:rsidR="00E426B9">
          <w:rPr>
            <w:rFonts w:ascii="Arial" w:hAnsi="Arial" w:cs="Arial"/>
          </w:rPr>
          <w:t>s e</w:t>
        </w:r>
      </w:smartTag>
      <w:r w:rsidR="00E426B9">
        <w:rPr>
          <w:rFonts w:ascii="Arial" w:hAnsi="Arial" w:cs="Arial"/>
        </w:rPr>
        <w:t>stable.</w:t>
      </w:r>
    </w:p>
    <w:p w:rsidR="00E426B9" w:rsidRDefault="00E426B9" w:rsidP="007911AC">
      <w:pPr>
        <w:numPr>
          <w:ilvl w:val="0"/>
          <w:numId w:val="11"/>
        </w:numPr>
        <w:ind w:left="709" w:hanging="319"/>
        <w:jc w:val="both"/>
        <w:rPr>
          <w:rFonts w:ascii="Arial" w:hAnsi="Arial" w:cs="Arial"/>
        </w:rPr>
      </w:pPr>
      <w:r>
        <w:rPr>
          <w:rFonts w:ascii="Arial" w:hAnsi="Arial" w:cs="Arial"/>
        </w:rPr>
        <w:t xml:space="preserve">La </w:t>
      </w:r>
      <w:r w:rsidR="00595C83">
        <w:rPr>
          <w:rFonts w:ascii="Arial" w:hAnsi="Arial" w:cs="Arial"/>
        </w:rPr>
        <w:t>forta caiguda d</w:t>
      </w:r>
      <w:r>
        <w:rPr>
          <w:rFonts w:ascii="Arial" w:hAnsi="Arial" w:cs="Arial"/>
        </w:rPr>
        <w:t>’ingressos</w:t>
      </w:r>
      <w:r w:rsidR="00595C83">
        <w:rPr>
          <w:rFonts w:ascii="Arial" w:hAnsi="Arial" w:cs="Arial"/>
        </w:rPr>
        <w:t xml:space="preserve"> fiscal</w:t>
      </w:r>
      <w:smartTag w:uri="urn:schemas-microsoft-com:office:smarttags" w:element="PersonName">
        <w:r w:rsidR="00595C83">
          <w:rPr>
            <w:rFonts w:ascii="Arial" w:hAnsi="Arial" w:cs="Arial"/>
          </w:rPr>
          <w:t>s</w:t>
        </w:r>
        <w:r>
          <w:rPr>
            <w:rFonts w:ascii="Arial" w:hAnsi="Arial" w:cs="Arial"/>
          </w:rPr>
          <w:t xml:space="preserve"> e</w:t>
        </w:r>
      </w:smartTag>
      <w:r>
        <w:rPr>
          <w:rFonts w:ascii="Arial" w:hAnsi="Arial" w:cs="Arial"/>
        </w:rPr>
        <w:t>s produeix com a conseqüència d’una dependència més gran dels sectors més afectats per la crisi i també per les rebaixes fiscals introduïdes pels diferents governs.</w:t>
      </w:r>
    </w:p>
    <w:p w:rsidR="00E426B9" w:rsidRDefault="00E426B9" w:rsidP="007911AC">
      <w:pPr>
        <w:numPr>
          <w:ilvl w:val="0"/>
          <w:numId w:val="11"/>
        </w:numPr>
        <w:ind w:left="709" w:hanging="319"/>
        <w:jc w:val="both"/>
        <w:rPr>
          <w:rFonts w:ascii="Arial" w:hAnsi="Arial" w:cs="Arial"/>
        </w:rPr>
      </w:pPr>
      <w:r>
        <w:rPr>
          <w:rFonts w:ascii="Arial" w:hAnsi="Arial" w:cs="Arial"/>
        </w:rPr>
        <w:t>D’altra banda, l’estructura tributària de Catalunya, al igual que la majoria de països de la Unió Europea, és de caràcter regressiu: només una tercera part dels ingressos s’obtenen de la tributació directa progressiva.</w:t>
      </w:r>
    </w:p>
    <w:p w:rsidR="000D62AE" w:rsidRPr="00744C93" w:rsidRDefault="000D62AE" w:rsidP="004A0C97">
      <w:pPr>
        <w:jc w:val="both"/>
        <w:rPr>
          <w:rFonts w:ascii="Arial" w:hAnsi="Arial" w:cs="Arial"/>
        </w:rPr>
      </w:pPr>
    </w:p>
    <w:p w:rsidR="003800B6" w:rsidRDefault="008764DE" w:rsidP="002A7658">
      <w:pPr>
        <w:jc w:val="both"/>
        <w:rPr>
          <w:rFonts w:ascii="Arial" w:hAnsi="Arial" w:cs="Arial"/>
          <w:b/>
          <w:sz w:val="24"/>
          <w:szCs w:val="24"/>
        </w:rPr>
      </w:pPr>
      <w:r>
        <w:rPr>
          <w:rFonts w:ascii="Arial" w:hAnsi="Arial" w:cs="Arial"/>
          <w:b/>
          <w:sz w:val="24"/>
          <w:szCs w:val="24"/>
        </w:rPr>
        <w:t>Es redueixen els beneficiaris de les p</w:t>
      </w:r>
      <w:r w:rsidR="000D62AE">
        <w:rPr>
          <w:rFonts w:ascii="Arial" w:hAnsi="Arial" w:cs="Arial"/>
          <w:b/>
          <w:sz w:val="24"/>
          <w:szCs w:val="24"/>
        </w:rPr>
        <w:t>restacions socials</w:t>
      </w:r>
    </w:p>
    <w:p w:rsidR="002D25F8" w:rsidRPr="000D4044" w:rsidRDefault="002D25F8" w:rsidP="002D25F8">
      <w:pPr>
        <w:numPr>
          <w:ilvl w:val="0"/>
          <w:numId w:val="11"/>
        </w:numPr>
        <w:ind w:left="709"/>
        <w:jc w:val="both"/>
        <w:rPr>
          <w:rFonts w:ascii="Arial" w:hAnsi="Arial" w:cs="Arial"/>
          <w:b/>
          <w:sz w:val="24"/>
          <w:szCs w:val="24"/>
        </w:rPr>
      </w:pPr>
      <w:r w:rsidRPr="000D4044">
        <w:rPr>
          <w:rFonts w:ascii="Arial" w:hAnsi="Arial" w:cs="Arial"/>
        </w:rPr>
        <w:t>Les pensions contributives de la Seguretat Social han perdut poder adquisitiu durant els últims anys. Aquesta pèrdua s’atura en el 2014 com a resultat de l’estancament dels preus.</w:t>
      </w:r>
    </w:p>
    <w:p w:rsidR="002D25F8" w:rsidRPr="000D4044" w:rsidRDefault="002D25F8" w:rsidP="002D25F8">
      <w:pPr>
        <w:numPr>
          <w:ilvl w:val="0"/>
          <w:numId w:val="11"/>
        </w:numPr>
        <w:ind w:left="709"/>
        <w:jc w:val="both"/>
        <w:rPr>
          <w:rFonts w:ascii="Arial" w:hAnsi="Arial" w:cs="Arial"/>
          <w:b/>
          <w:sz w:val="24"/>
          <w:szCs w:val="24"/>
        </w:rPr>
      </w:pPr>
      <w:r w:rsidRPr="000D4044">
        <w:rPr>
          <w:rFonts w:ascii="Arial" w:hAnsi="Arial" w:cs="Arial"/>
        </w:rPr>
        <w:t>Els beneficiaris de les pensions no contributives s’han reduït de manera sostinguda des del 2007 com a conseqüència de les retallades, fins que en el 2014 el nombre de persones beneficiàries augmenta respect</w:t>
      </w:r>
      <w:r w:rsidR="000C75A7">
        <w:rPr>
          <w:rFonts w:ascii="Arial" w:hAnsi="Arial" w:cs="Arial"/>
        </w:rPr>
        <w:t>e</w:t>
      </w:r>
      <w:r w:rsidRPr="000D4044">
        <w:rPr>
          <w:rFonts w:ascii="Arial" w:hAnsi="Arial" w:cs="Arial"/>
        </w:rPr>
        <w:t xml:space="preserve"> l’any anterior</w:t>
      </w:r>
      <w:r w:rsidR="00744C93">
        <w:rPr>
          <w:rFonts w:ascii="Arial" w:hAnsi="Arial" w:cs="Arial"/>
        </w:rPr>
        <w:t>.</w:t>
      </w:r>
    </w:p>
    <w:p w:rsidR="002D25F8" w:rsidRPr="002D25F8" w:rsidRDefault="002D25F8" w:rsidP="002D25F8">
      <w:pPr>
        <w:numPr>
          <w:ilvl w:val="0"/>
          <w:numId w:val="11"/>
        </w:numPr>
        <w:ind w:left="709"/>
        <w:jc w:val="both"/>
        <w:rPr>
          <w:rFonts w:ascii="Arial" w:hAnsi="Arial" w:cs="Arial"/>
          <w:b/>
          <w:sz w:val="24"/>
          <w:szCs w:val="24"/>
        </w:rPr>
      </w:pPr>
      <w:r w:rsidRPr="002D25F8">
        <w:rPr>
          <w:rFonts w:ascii="Arial" w:hAnsi="Arial" w:cs="Arial"/>
        </w:rPr>
        <w:lastRenderedPageBreak/>
        <w:t>El percentatge de persones aturades que cobren algun tipus de prestació es continua reduint. En el 2014 només un 30,9% de les persones en situació d’atur rep alguna prestació o ajuda pública.</w:t>
      </w:r>
    </w:p>
    <w:p w:rsidR="0005475C" w:rsidRPr="000C75A7" w:rsidRDefault="002D25F8" w:rsidP="002D25F8">
      <w:pPr>
        <w:numPr>
          <w:ilvl w:val="0"/>
          <w:numId w:val="11"/>
        </w:numPr>
        <w:ind w:left="709"/>
        <w:jc w:val="both"/>
        <w:rPr>
          <w:rFonts w:ascii="Arial" w:hAnsi="Arial" w:cs="Arial"/>
          <w:b/>
          <w:sz w:val="24"/>
          <w:szCs w:val="24"/>
        </w:rPr>
      </w:pPr>
      <w:r w:rsidRPr="002D25F8">
        <w:rPr>
          <w:rFonts w:ascii="Arial" w:hAnsi="Arial" w:cs="Arial"/>
        </w:rPr>
        <w:t>A partir del 2013 es tornen a incrementar tant els expedients com l’import executat de la renda mínima d’inserció</w:t>
      </w:r>
      <w:r w:rsidR="001341E1">
        <w:rPr>
          <w:rFonts w:ascii="Arial" w:hAnsi="Arial" w:cs="Arial"/>
        </w:rPr>
        <w:t xml:space="preserve"> malgrat que encara està per sota de la situació anterior a les retallades.</w:t>
      </w:r>
    </w:p>
    <w:p w:rsidR="000C75A7" w:rsidRPr="002D25F8" w:rsidRDefault="000C75A7" w:rsidP="000C75A7">
      <w:pPr>
        <w:ind w:left="349"/>
        <w:jc w:val="both"/>
        <w:rPr>
          <w:rFonts w:ascii="Arial" w:hAnsi="Arial" w:cs="Arial"/>
          <w:b/>
          <w:sz w:val="24"/>
          <w:szCs w:val="24"/>
        </w:rPr>
      </w:pPr>
    </w:p>
    <w:p w:rsidR="002D25F8" w:rsidRPr="000D4044" w:rsidRDefault="002D25F8" w:rsidP="002A7658">
      <w:pPr>
        <w:jc w:val="both"/>
        <w:rPr>
          <w:rFonts w:ascii="Arial" w:hAnsi="Arial" w:cs="Arial"/>
          <w:b/>
          <w:sz w:val="24"/>
          <w:szCs w:val="24"/>
        </w:rPr>
      </w:pPr>
      <w:r w:rsidRPr="000D4044">
        <w:rPr>
          <w:rFonts w:ascii="Arial" w:hAnsi="Arial" w:cs="Arial"/>
          <w:b/>
          <w:sz w:val="24"/>
          <w:szCs w:val="24"/>
        </w:rPr>
        <w:t>Mercat de treball més precaritzat</w:t>
      </w:r>
    </w:p>
    <w:p w:rsidR="002D25F8" w:rsidRPr="000D4044" w:rsidRDefault="002D25F8" w:rsidP="002D25F8">
      <w:pPr>
        <w:numPr>
          <w:ilvl w:val="0"/>
          <w:numId w:val="11"/>
        </w:numPr>
        <w:ind w:left="709" w:hanging="319"/>
        <w:jc w:val="both"/>
        <w:rPr>
          <w:rFonts w:ascii="Arial" w:hAnsi="Arial" w:cs="Arial"/>
        </w:rPr>
      </w:pPr>
      <w:r w:rsidRPr="000D4044">
        <w:rPr>
          <w:rFonts w:ascii="Arial" w:hAnsi="Arial" w:cs="Arial"/>
        </w:rPr>
        <w:t>La destrucció d’ocupació, que s’inic</w:t>
      </w:r>
      <w:r w:rsidR="001341E1">
        <w:rPr>
          <w:rFonts w:ascii="Arial" w:hAnsi="Arial" w:cs="Arial"/>
        </w:rPr>
        <w:t>ia el 2008, s’atura en el 2014</w:t>
      </w:r>
      <w:r w:rsidRPr="000D4044">
        <w:rPr>
          <w:rFonts w:ascii="Arial" w:hAnsi="Arial" w:cs="Arial"/>
        </w:rPr>
        <w:t xml:space="preserve"> i la taxa d</w:t>
      </w:r>
      <w:r w:rsidR="001341E1">
        <w:rPr>
          <w:rFonts w:ascii="Arial" w:hAnsi="Arial" w:cs="Arial"/>
        </w:rPr>
        <w:t>e desocupació</w:t>
      </w:r>
      <w:r w:rsidRPr="000D4044">
        <w:rPr>
          <w:rFonts w:ascii="Arial" w:hAnsi="Arial" w:cs="Arial"/>
        </w:rPr>
        <w:t xml:space="preserve"> de 16 a 64 anys es redueix respecte el 2013 en 3 punts.</w:t>
      </w:r>
    </w:p>
    <w:p w:rsidR="002D25F8" w:rsidRPr="000D4044" w:rsidRDefault="002D25F8" w:rsidP="002D25F8">
      <w:pPr>
        <w:numPr>
          <w:ilvl w:val="0"/>
          <w:numId w:val="11"/>
        </w:numPr>
        <w:ind w:left="709" w:hanging="319"/>
        <w:jc w:val="both"/>
        <w:rPr>
          <w:rFonts w:ascii="Arial" w:hAnsi="Arial" w:cs="Arial"/>
        </w:rPr>
      </w:pPr>
      <w:r w:rsidRPr="000D4044">
        <w:rPr>
          <w:rFonts w:ascii="Arial" w:hAnsi="Arial" w:cs="Arial"/>
        </w:rPr>
        <w:t>La precarització de l’ocupació afecta molt més als joves</w:t>
      </w:r>
      <w:r w:rsidR="0039140C">
        <w:rPr>
          <w:rFonts w:ascii="Arial" w:hAnsi="Arial" w:cs="Arial"/>
        </w:rPr>
        <w:t xml:space="preserve"> de 16 a 24 anys</w:t>
      </w:r>
      <w:r w:rsidRPr="000D4044">
        <w:rPr>
          <w:rFonts w:ascii="Arial" w:hAnsi="Arial" w:cs="Arial"/>
        </w:rPr>
        <w:t>, però també més a les dones que als homes i més a la població assalariada estrangera que a la de nacionalitat espanyola.</w:t>
      </w:r>
    </w:p>
    <w:p w:rsidR="002D25F8" w:rsidRPr="000D4044" w:rsidRDefault="002D25F8" w:rsidP="002D25F8">
      <w:pPr>
        <w:numPr>
          <w:ilvl w:val="0"/>
          <w:numId w:val="11"/>
        </w:numPr>
        <w:ind w:left="709" w:hanging="319"/>
        <w:jc w:val="both"/>
        <w:rPr>
          <w:rFonts w:ascii="Arial" w:hAnsi="Arial" w:cs="Arial"/>
        </w:rPr>
      </w:pPr>
      <w:r w:rsidRPr="000D4044">
        <w:rPr>
          <w:rFonts w:ascii="Arial" w:hAnsi="Arial" w:cs="Arial"/>
        </w:rPr>
        <w:t>Les persones joves</w:t>
      </w:r>
      <w:r w:rsidR="0039140C">
        <w:rPr>
          <w:rFonts w:ascii="Arial" w:hAnsi="Arial" w:cs="Arial"/>
        </w:rPr>
        <w:t xml:space="preserve"> de 16 a 24 anys</w:t>
      </w:r>
      <w:r w:rsidRPr="000D4044">
        <w:rPr>
          <w:rFonts w:ascii="Arial" w:hAnsi="Arial" w:cs="Arial"/>
        </w:rPr>
        <w:t xml:space="preserve"> que volen treballar presenten una taxa d’ocupació molt per sota de la que tenien el 2007 i una taxa d’atur propera al 50%, que triplica la de l’inici del període.</w:t>
      </w:r>
    </w:p>
    <w:p w:rsidR="002D25F8" w:rsidRDefault="002D25F8" w:rsidP="002D25F8">
      <w:pPr>
        <w:numPr>
          <w:ilvl w:val="0"/>
          <w:numId w:val="11"/>
        </w:numPr>
        <w:ind w:left="709" w:hanging="319"/>
        <w:jc w:val="both"/>
        <w:rPr>
          <w:rFonts w:ascii="Arial" w:hAnsi="Arial" w:cs="Arial"/>
        </w:rPr>
      </w:pPr>
      <w:r w:rsidRPr="000D4044">
        <w:rPr>
          <w:rFonts w:ascii="Arial" w:hAnsi="Arial" w:cs="Arial"/>
        </w:rPr>
        <w:t>Prop del 60% dels joves ocupats</w:t>
      </w:r>
      <w:r w:rsidR="0039140C">
        <w:rPr>
          <w:rFonts w:ascii="Arial" w:hAnsi="Arial" w:cs="Arial"/>
        </w:rPr>
        <w:t xml:space="preserve"> (de 16 a 24 anys) </w:t>
      </w:r>
      <w:r w:rsidRPr="000D4044">
        <w:rPr>
          <w:rFonts w:ascii="Arial" w:hAnsi="Arial" w:cs="Arial"/>
        </w:rPr>
        <w:t>treballen amb contractes temporals i també prop d’un 60% tenen contractes a temps parcial.</w:t>
      </w:r>
    </w:p>
    <w:p w:rsidR="002E0A7E" w:rsidRPr="000D4044" w:rsidRDefault="002E0A7E" w:rsidP="002D25F8">
      <w:pPr>
        <w:numPr>
          <w:ilvl w:val="0"/>
          <w:numId w:val="11"/>
        </w:numPr>
        <w:ind w:left="709" w:hanging="319"/>
        <w:jc w:val="both"/>
        <w:rPr>
          <w:rFonts w:ascii="Arial" w:hAnsi="Arial" w:cs="Arial"/>
        </w:rPr>
      </w:pPr>
      <w:r>
        <w:rPr>
          <w:rFonts w:ascii="Arial" w:hAnsi="Arial" w:cs="Arial"/>
        </w:rPr>
        <w:t>La població aturada de llarga durada augmenta 3 punts respecte l’any anterior i arriba al 60,5%.</w:t>
      </w:r>
    </w:p>
    <w:p w:rsidR="002D25F8" w:rsidRPr="000D4044" w:rsidRDefault="002D25F8" w:rsidP="002D25F8">
      <w:pPr>
        <w:numPr>
          <w:ilvl w:val="0"/>
          <w:numId w:val="11"/>
        </w:numPr>
        <w:ind w:left="709" w:hanging="319"/>
        <w:jc w:val="both"/>
        <w:rPr>
          <w:rFonts w:ascii="Arial" w:hAnsi="Arial" w:cs="Arial"/>
        </w:rPr>
      </w:pPr>
      <w:r w:rsidRPr="000D4044">
        <w:rPr>
          <w:rFonts w:ascii="Arial" w:hAnsi="Arial" w:cs="Arial"/>
        </w:rPr>
        <w:t>La població aturada que viu en llars on tots els seus membres actius estan a l’atur es multiplica per 6 entre el 2007 i el 2013. A finals del 2014, són el 42,6% les persones aturades que estan en aquesta situació, amb un increment de més de 20 punts en relació al 2007.</w:t>
      </w:r>
    </w:p>
    <w:p w:rsidR="002D25F8" w:rsidRPr="000D4044" w:rsidRDefault="002D25F8" w:rsidP="00744C93">
      <w:pPr>
        <w:jc w:val="both"/>
        <w:rPr>
          <w:rFonts w:ascii="Arial" w:hAnsi="Arial" w:cs="Arial"/>
        </w:rPr>
      </w:pPr>
    </w:p>
    <w:p w:rsidR="002D25F8" w:rsidRPr="000D4044" w:rsidRDefault="002D25F8" w:rsidP="002D25F8">
      <w:pPr>
        <w:jc w:val="both"/>
        <w:rPr>
          <w:rFonts w:ascii="Arial" w:hAnsi="Arial" w:cs="Arial"/>
          <w:b/>
          <w:sz w:val="24"/>
          <w:szCs w:val="24"/>
        </w:rPr>
      </w:pPr>
      <w:r w:rsidRPr="000D4044">
        <w:rPr>
          <w:rFonts w:ascii="Arial" w:hAnsi="Arial" w:cs="Arial"/>
          <w:b/>
          <w:sz w:val="24"/>
          <w:szCs w:val="24"/>
        </w:rPr>
        <w:t>Educació: no es garanteix la igualtat d’oportunitats</w:t>
      </w:r>
    </w:p>
    <w:p w:rsidR="002D25F8" w:rsidRPr="000D4044" w:rsidRDefault="002D25F8" w:rsidP="002D25F8">
      <w:pPr>
        <w:numPr>
          <w:ilvl w:val="0"/>
          <w:numId w:val="11"/>
        </w:numPr>
        <w:ind w:left="709"/>
        <w:jc w:val="both"/>
        <w:rPr>
          <w:rFonts w:ascii="Arial" w:hAnsi="Arial" w:cs="Arial"/>
        </w:rPr>
      </w:pPr>
      <w:r w:rsidRPr="000D4044">
        <w:rPr>
          <w:rFonts w:ascii="Arial" w:hAnsi="Arial" w:cs="Arial"/>
        </w:rPr>
        <w:t>El percentatge de baixos resultats dels alumnes de famílies amb nivell de riquesa més baix duplica el dels alumnes amb el nivell de riquesa més alt.</w:t>
      </w:r>
    </w:p>
    <w:p w:rsidR="002D25F8" w:rsidRPr="000D4044" w:rsidRDefault="002D25F8" w:rsidP="002D25F8">
      <w:pPr>
        <w:numPr>
          <w:ilvl w:val="0"/>
          <w:numId w:val="11"/>
        </w:numPr>
        <w:ind w:left="709"/>
        <w:jc w:val="both"/>
        <w:rPr>
          <w:rFonts w:ascii="Arial" w:hAnsi="Arial" w:cs="Arial"/>
        </w:rPr>
      </w:pPr>
      <w:r w:rsidRPr="000D4044">
        <w:rPr>
          <w:rFonts w:ascii="Arial" w:hAnsi="Arial" w:cs="Arial"/>
        </w:rPr>
        <w:t>La taxa d’atur és més elevada com menys titulació té la persona i la crisi  incrementa aquestes diferències.</w:t>
      </w:r>
    </w:p>
    <w:p w:rsidR="002D25F8" w:rsidRPr="000D4044" w:rsidRDefault="002D25F8" w:rsidP="002D25F8">
      <w:pPr>
        <w:numPr>
          <w:ilvl w:val="0"/>
          <w:numId w:val="11"/>
        </w:numPr>
        <w:ind w:left="709"/>
        <w:jc w:val="both"/>
        <w:rPr>
          <w:rFonts w:ascii="Arial" w:hAnsi="Arial" w:cs="Arial"/>
        </w:rPr>
      </w:pPr>
      <w:r w:rsidRPr="000D4044">
        <w:rPr>
          <w:rFonts w:ascii="Arial" w:hAnsi="Arial" w:cs="Arial"/>
        </w:rPr>
        <w:t>D’altra banda, les polítiques públiques d’educació, que haurien de corregir aquesta situació i garantir una major igualtat d’oportunitats, es redueixen com a conseqüència de les polítiques de retallades.</w:t>
      </w:r>
    </w:p>
    <w:p w:rsidR="004711B9" w:rsidRDefault="004711B9" w:rsidP="0005475C">
      <w:pPr>
        <w:jc w:val="both"/>
        <w:rPr>
          <w:rFonts w:ascii="Arial" w:hAnsi="Arial" w:cs="Arial"/>
          <w:b/>
          <w:sz w:val="24"/>
          <w:szCs w:val="24"/>
        </w:rPr>
      </w:pPr>
    </w:p>
    <w:p w:rsidR="00653D55" w:rsidRDefault="00653D55" w:rsidP="0005475C">
      <w:pPr>
        <w:jc w:val="both"/>
        <w:rPr>
          <w:rFonts w:ascii="Arial" w:hAnsi="Arial" w:cs="Arial"/>
          <w:b/>
          <w:sz w:val="24"/>
          <w:szCs w:val="24"/>
        </w:rPr>
      </w:pPr>
    </w:p>
    <w:p w:rsidR="00653D55" w:rsidRDefault="00653D55" w:rsidP="0005475C">
      <w:pPr>
        <w:jc w:val="both"/>
        <w:rPr>
          <w:rFonts w:ascii="Arial" w:hAnsi="Arial" w:cs="Arial"/>
          <w:b/>
          <w:sz w:val="24"/>
          <w:szCs w:val="24"/>
        </w:rPr>
      </w:pPr>
    </w:p>
    <w:p w:rsidR="0005475C" w:rsidRDefault="0005475C" w:rsidP="0005475C">
      <w:pPr>
        <w:jc w:val="both"/>
        <w:rPr>
          <w:rFonts w:ascii="Arial" w:hAnsi="Arial" w:cs="Arial"/>
          <w:b/>
          <w:sz w:val="24"/>
          <w:szCs w:val="24"/>
        </w:rPr>
      </w:pPr>
      <w:r>
        <w:rPr>
          <w:rFonts w:ascii="Arial" w:hAnsi="Arial" w:cs="Arial"/>
          <w:b/>
          <w:sz w:val="24"/>
          <w:szCs w:val="24"/>
        </w:rPr>
        <w:t>Distribució de la renda</w:t>
      </w:r>
      <w:r w:rsidR="00B23A61">
        <w:rPr>
          <w:rFonts w:ascii="Arial" w:hAnsi="Arial" w:cs="Arial"/>
          <w:b/>
          <w:sz w:val="24"/>
          <w:szCs w:val="24"/>
        </w:rPr>
        <w:t>: augmenten les desigualtats</w:t>
      </w:r>
      <w:r w:rsidR="00FB7A17">
        <w:rPr>
          <w:rFonts w:ascii="Arial" w:hAnsi="Arial" w:cs="Arial"/>
          <w:b/>
          <w:sz w:val="24"/>
          <w:szCs w:val="24"/>
        </w:rPr>
        <w:t xml:space="preserve"> i la pobresa</w:t>
      </w:r>
    </w:p>
    <w:p w:rsidR="001B5141" w:rsidRDefault="000356BB" w:rsidP="00B65681">
      <w:pPr>
        <w:numPr>
          <w:ilvl w:val="0"/>
          <w:numId w:val="11"/>
        </w:numPr>
        <w:ind w:left="709"/>
        <w:jc w:val="both"/>
        <w:rPr>
          <w:rFonts w:ascii="Arial" w:hAnsi="Arial" w:cs="Arial"/>
        </w:rPr>
      </w:pPr>
      <w:r>
        <w:rPr>
          <w:rFonts w:ascii="Arial" w:hAnsi="Arial" w:cs="Arial"/>
        </w:rPr>
        <w:t xml:space="preserve">Des de l’inici </w:t>
      </w:r>
      <w:r w:rsidR="00911CE4" w:rsidRPr="004C485F">
        <w:rPr>
          <w:rFonts w:ascii="Arial" w:hAnsi="Arial" w:cs="Arial"/>
        </w:rPr>
        <w:t xml:space="preserve">de la crisi, </w:t>
      </w:r>
      <w:r w:rsidR="00382862">
        <w:rPr>
          <w:rFonts w:ascii="Arial" w:hAnsi="Arial" w:cs="Arial"/>
        </w:rPr>
        <w:t>les rendes de les famílies</w:t>
      </w:r>
      <w:r w:rsidR="00911CE4" w:rsidRPr="004C485F">
        <w:rPr>
          <w:rFonts w:ascii="Arial" w:hAnsi="Arial" w:cs="Arial"/>
        </w:rPr>
        <w:t xml:space="preserve"> catalan</w:t>
      </w:r>
      <w:r w:rsidR="00382862">
        <w:rPr>
          <w:rFonts w:ascii="Arial" w:hAnsi="Arial" w:cs="Arial"/>
        </w:rPr>
        <w:t>es</w:t>
      </w:r>
      <w:r w:rsidR="00911CE4" w:rsidRPr="004C485F">
        <w:rPr>
          <w:rFonts w:ascii="Arial" w:hAnsi="Arial" w:cs="Arial"/>
        </w:rPr>
        <w:t xml:space="preserve"> ha</w:t>
      </w:r>
      <w:r w:rsidR="00382862">
        <w:rPr>
          <w:rFonts w:ascii="Arial" w:hAnsi="Arial" w:cs="Arial"/>
        </w:rPr>
        <w:t>n</w:t>
      </w:r>
      <w:r w:rsidR="00911CE4" w:rsidRPr="004C485F">
        <w:rPr>
          <w:rFonts w:ascii="Arial" w:hAnsi="Arial" w:cs="Arial"/>
        </w:rPr>
        <w:t xml:space="preserve"> experimentat una </w:t>
      </w:r>
      <w:r>
        <w:rPr>
          <w:rFonts w:ascii="Arial" w:hAnsi="Arial" w:cs="Arial"/>
        </w:rPr>
        <w:t>disminució</w:t>
      </w:r>
      <w:r w:rsidR="00911CE4" w:rsidRPr="004C485F">
        <w:rPr>
          <w:rFonts w:ascii="Arial" w:hAnsi="Arial" w:cs="Arial"/>
        </w:rPr>
        <w:t xml:space="preserve"> important i més intensa que en la majoria de països de la Unió Europea.</w:t>
      </w:r>
      <w:r w:rsidR="009A1C5D">
        <w:rPr>
          <w:rFonts w:ascii="Arial" w:hAnsi="Arial" w:cs="Arial"/>
        </w:rPr>
        <w:t xml:space="preserve"> </w:t>
      </w:r>
      <w:r>
        <w:rPr>
          <w:rFonts w:ascii="Arial" w:hAnsi="Arial" w:cs="Arial"/>
        </w:rPr>
        <w:t>Una caiguda que duplica la de la mitjana de la UE.</w:t>
      </w:r>
    </w:p>
    <w:p w:rsidR="004C485F" w:rsidRPr="001B5141" w:rsidRDefault="00B5300C" w:rsidP="00B65681">
      <w:pPr>
        <w:numPr>
          <w:ilvl w:val="0"/>
          <w:numId w:val="11"/>
        </w:numPr>
        <w:ind w:left="709"/>
        <w:jc w:val="both"/>
        <w:rPr>
          <w:rFonts w:ascii="Arial" w:hAnsi="Arial" w:cs="Arial"/>
        </w:rPr>
      </w:pPr>
      <w:r>
        <w:rPr>
          <w:rFonts w:ascii="Arial" w:hAnsi="Arial" w:cs="Arial"/>
        </w:rPr>
        <w:t>Catalunya</w:t>
      </w:r>
      <w:r w:rsidR="009A1C5D">
        <w:rPr>
          <w:rFonts w:ascii="Arial" w:hAnsi="Arial" w:cs="Arial"/>
        </w:rPr>
        <w:t xml:space="preserve"> </w:t>
      </w:r>
      <w:r w:rsidR="005433B7">
        <w:rPr>
          <w:rFonts w:ascii="Arial" w:hAnsi="Arial" w:cs="Arial"/>
        </w:rPr>
        <w:t xml:space="preserve">és dels països on més </w:t>
      </w:r>
      <w:r w:rsidR="001B5141" w:rsidRPr="001B5141">
        <w:rPr>
          <w:rFonts w:ascii="Arial" w:hAnsi="Arial" w:cs="Arial"/>
        </w:rPr>
        <w:t>han augmentat les desigualtats.</w:t>
      </w:r>
      <w:r w:rsidR="004E4E66">
        <w:rPr>
          <w:rFonts w:ascii="Arial" w:hAnsi="Arial" w:cs="Arial"/>
        </w:rPr>
        <w:t xml:space="preserve"> </w:t>
      </w:r>
      <w:r>
        <w:rPr>
          <w:rFonts w:ascii="Arial" w:hAnsi="Arial" w:cs="Arial"/>
        </w:rPr>
        <w:t>E</w:t>
      </w:r>
      <w:r w:rsidR="004C485F" w:rsidRPr="001B5141">
        <w:rPr>
          <w:rFonts w:ascii="Arial" w:hAnsi="Arial" w:cs="Arial"/>
        </w:rPr>
        <w:t>n els an</w:t>
      </w:r>
      <w:r w:rsidR="005433B7">
        <w:rPr>
          <w:rFonts w:ascii="Arial" w:hAnsi="Arial" w:cs="Arial"/>
        </w:rPr>
        <w:t>y</w:t>
      </w:r>
      <w:r w:rsidR="004C485F" w:rsidRPr="001B5141">
        <w:rPr>
          <w:rFonts w:ascii="Arial" w:hAnsi="Arial" w:cs="Arial"/>
        </w:rPr>
        <w:t xml:space="preserve">s previs a la crisi </w:t>
      </w:r>
      <w:r>
        <w:rPr>
          <w:rFonts w:ascii="Arial" w:hAnsi="Arial" w:cs="Arial"/>
        </w:rPr>
        <w:t>els nivells de desigualtat eren inferiors a</w:t>
      </w:r>
      <w:r w:rsidR="004C485F" w:rsidRPr="001B5141">
        <w:rPr>
          <w:rFonts w:ascii="Arial" w:hAnsi="Arial" w:cs="Arial"/>
        </w:rPr>
        <w:t xml:space="preserve"> la mitjana europea </w:t>
      </w:r>
      <w:r>
        <w:rPr>
          <w:rFonts w:ascii="Arial" w:hAnsi="Arial" w:cs="Arial"/>
        </w:rPr>
        <w:t xml:space="preserve">i ara </w:t>
      </w:r>
      <w:r w:rsidR="004C485F" w:rsidRPr="001B5141">
        <w:rPr>
          <w:rFonts w:ascii="Arial" w:hAnsi="Arial" w:cs="Arial"/>
        </w:rPr>
        <w:t>ha</w:t>
      </w:r>
      <w:r>
        <w:rPr>
          <w:rFonts w:ascii="Arial" w:hAnsi="Arial" w:cs="Arial"/>
        </w:rPr>
        <w:t>n</w:t>
      </w:r>
      <w:r w:rsidR="00F53289">
        <w:rPr>
          <w:rFonts w:ascii="Arial" w:hAnsi="Arial" w:cs="Arial"/>
        </w:rPr>
        <w:t xml:space="preserve"> passat a situar-se per sobre.</w:t>
      </w:r>
    </w:p>
    <w:p w:rsidR="000356BB" w:rsidRDefault="004C485F" w:rsidP="00B65681">
      <w:pPr>
        <w:numPr>
          <w:ilvl w:val="0"/>
          <w:numId w:val="11"/>
        </w:numPr>
        <w:ind w:left="709"/>
        <w:jc w:val="both"/>
        <w:rPr>
          <w:rFonts w:ascii="Arial" w:hAnsi="Arial" w:cs="Arial"/>
        </w:rPr>
      </w:pPr>
      <w:r w:rsidRPr="00B5300C">
        <w:rPr>
          <w:rFonts w:ascii="Arial" w:hAnsi="Arial" w:cs="Arial"/>
        </w:rPr>
        <w:t>La pèrdua de la capacitat adquisitiva de la renda de les famíli</w:t>
      </w:r>
      <w:r w:rsidR="004E4E66">
        <w:rPr>
          <w:rFonts w:ascii="Arial" w:hAnsi="Arial" w:cs="Arial"/>
        </w:rPr>
        <w:t>es catalanes s’està repartint d’</w:t>
      </w:r>
      <w:r w:rsidRPr="00B5300C">
        <w:rPr>
          <w:rFonts w:ascii="Arial" w:hAnsi="Arial" w:cs="Arial"/>
        </w:rPr>
        <w:t>una forma gens equitativa</w:t>
      </w:r>
      <w:r w:rsidR="00EB781C" w:rsidRPr="00B5300C">
        <w:rPr>
          <w:rFonts w:ascii="Arial" w:hAnsi="Arial" w:cs="Arial"/>
        </w:rPr>
        <w:t xml:space="preserve">: </w:t>
      </w:r>
      <w:r w:rsidR="00B5300C">
        <w:rPr>
          <w:rFonts w:ascii="Arial" w:hAnsi="Arial" w:cs="Arial"/>
        </w:rPr>
        <w:t>les pèrdues relatives s’acumulen en els sectors de rendes baixes. A la vegada es produeix una concentració de re</w:t>
      </w:r>
      <w:r w:rsidR="004A0C97">
        <w:rPr>
          <w:rFonts w:ascii="Arial" w:hAnsi="Arial" w:cs="Arial"/>
        </w:rPr>
        <w:t>nda en la població més rica.</w:t>
      </w:r>
    </w:p>
    <w:p w:rsidR="00B5300C" w:rsidRDefault="00B5300C" w:rsidP="00B65681">
      <w:pPr>
        <w:numPr>
          <w:ilvl w:val="0"/>
          <w:numId w:val="11"/>
        </w:numPr>
        <w:ind w:left="709"/>
        <w:jc w:val="both"/>
        <w:rPr>
          <w:rFonts w:ascii="Arial" w:hAnsi="Arial" w:cs="Arial"/>
        </w:rPr>
      </w:pPr>
      <w:r>
        <w:rPr>
          <w:rFonts w:ascii="Arial" w:hAnsi="Arial" w:cs="Arial"/>
        </w:rPr>
        <w:t>Les diferèncie</w:t>
      </w:r>
      <w:smartTag w:uri="urn:schemas-microsoft-com:office:smarttags" w:element="PersonName">
        <w:r>
          <w:rPr>
            <w:rFonts w:ascii="Arial" w:hAnsi="Arial" w:cs="Arial"/>
          </w:rPr>
          <w:t>s e</w:t>
        </w:r>
      </w:smartTag>
      <w:r>
        <w:rPr>
          <w:rFonts w:ascii="Arial" w:hAnsi="Arial" w:cs="Arial"/>
        </w:rPr>
        <w:t>ntre les rendes més altes i les més baixes s’incrementen.</w:t>
      </w:r>
      <w:r w:rsidR="000356BB">
        <w:rPr>
          <w:rFonts w:ascii="Arial" w:hAnsi="Arial" w:cs="Arial"/>
        </w:rPr>
        <w:t xml:space="preserve"> La renda del 20% de les famílies amb ingressos més e</w:t>
      </w:r>
      <w:r w:rsidR="009A1C5D">
        <w:rPr>
          <w:rFonts w:ascii="Arial" w:hAnsi="Arial" w:cs="Arial"/>
        </w:rPr>
        <w:t>levats és 6</w:t>
      </w:r>
      <w:r w:rsidR="00F53289">
        <w:rPr>
          <w:rFonts w:ascii="Arial" w:hAnsi="Arial" w:cs="Arial"/>
        </w:rPr>
        <w:t>,</w:t>
      </w:r>
      <w:r w:rsidR="009A1C5D">
        <w:rPr>
          <w:rFonts w:ascii="Arial" w:hAnsi="Arial" w:cs="Arial"/>
        </w:rPr>
        <w:t>5</w:t>
      </w:r>
      <w:r w:rsidR="000356BB">
        <w:rPr>
          <w:rFonts w:ascii="Arial" w:hAnsi="Arial" w:cs="Arial"/>
        </w:rPr>
        <w:t xml:space="preserve"> vegades superior a la renda del 20% amb menys ingressos.</w:t>
      </w:r>
      <w:r w:rsidR="009A1C5D">
        <w:rPr>
          <w:rFonts w:ascii="Arial" w:hAnsi="Arial" w:cs="Arial"/>
        </w:rPr>
        <w:t xml:space="preserve"> Mentre qu</w:t>
      </w:r>
      <w:r w:rsidR="00531705">
        <w:rPr>
          <w:rFonts w:ascii="Arial" w:hAnsi="Arial" w:cs="Arial"/>
        </w:rPr>
        <w:t>e</w:t>
      </w:r>
      <w:r w:rsidR="009A1C5D">
        <w:rPr>
          <w:rFonts w:ascii="Arial" w:hAnsi="Arial" w:cs="Arial"/>
        </w:rPr>
        <w:t xml:space="preserve"> en el con</w:t>
      </w:r>
      <w:r w:rsidR="00531705">
        <w:rPr>
          <w:rFonts w:ascii="Arial" w:hAnsi="Arial" w:cs="Arial"/>
        </w:rPr>
        <w:t>j</w:t>
      </w:r>
      <w:r w:rsidR="009A1C5D">
        <w:rPr>
          <w:rFonts w:ascii="Arial" w:hAnsi="Arial" w:cs="Arial"/>
        </w:rPr>
        <w:t>unt de la UE ho és 5 vegades superior.</w:t>
      </w:r>
    </w:p>
    <w:p w:rsidR="00911CE4" w:rsidRDefault="005433B7" w:rsidP="00744C93">
      <w:pPr>
        <w:numPr>
          <w:ilvl w:val="0"/>
          <w:numId w:val="11"/>
        </w:numPr>
        <w:ind w:left="709" w:hanging="357"/>
        <w:jc w:val="both"/>
        <w:rPr>
          <w:rFonts w:ascii="Arial" w:hAnsi="Arial" w:cs="Arial"/>
        </w:rPr>
      </w:pPr>
      <w:r w:rsidRPr="00A3602E">
        <w:rPr>
          <w:rFonts w:ascii="Arial" w:hAnsi="Arial" w:cs="Arial"/>
        </w:rPr>
        <w:t xml:space="preserve">La pobresa </w:t>
      </w:r>
      <w:r w:rsidR="00E07FB2" w:rsidRPr="00A3602E">
        <w:rPr>
          <w:rFonts w:ascii="Arial" w:hAnsi="Arial" w:cs="Arial"/>
        </w:rPr>
        <w:t>ha crescut de forma més intensa a Catalunya que en pràcticament tots els països de la Unió Europea</w:t>
      </w:r>
      <w:r w:rsidR="00E42863" w:rsidRPr="00A3602E">
        <w:rPr>
          <w:rFonts w:ascii="Arial" w:hAnsi="Arial" w:cs="Arial"/>
        </w:rPr>
        <w:t>. L</w:t>
      </w:r>
      <w:r w:rsidRPr="00A3602E">
        <w:rPr>
          <w:rFonts w:ascii="Arial" w:hAnsi="Arial" w:cs="Arial"/>
        </w:rPr>
        <w:t>’any 201</w:t>
      </w:r>
      <w:r w:rsidR="009A1C5D">
        <w:rPr>
          <w:rFonts w:ascii="Arial" w:hAnsi="Arial" w:cs="Arial"/>
        </w:rPr>
        <w:t>4</w:t>
      </w:r>
      <w:r w:rsidRPr="00A3602E">
        <w:rPr>
          <w:rFonts w:ascii="Arial" w:hAnsi="Arial" w:cs="Arial"/>
        </w:rPr>
        <w:t>,</w:t>
      </w:r>
      <w:r w:rsidR="009A1C5D">
        <w:rPr>
          <w:rFonts w:ascii="Arial" w:hAnsi="Arial" w:cs="Arial"/>
        </w:rPr>
        <w:t xml:space="preserve"> </w:t>
      </w:r>
      <w:r w:rsidRPr="00A3602E">
        <w:rPr>
          <w:rFonts w:ascii="Arial" w:hAnsi="Arial" w:cs="Arial"/>
        </w:rPr>
        <w:t>el 2</w:t>
      </w:r>
      <w:r w:rsidR="009A1C5D">
        <w:rPr>
          <w:rFonts w:ascii="Arial" w:hAnsi="Arial" w:cs="Arial"/>
        </w:rPr>
        <w:t>6</w:t>
      </w:r>
      <w:r w:rsidR="00E07FB2" w:rsidRPr="00A3602E">
        <w:rPr>
          <w:rFonts w:ascii="Arial" w:hAnsi="Arial" w:cs="Arial"/>
        </w:rPr>
        <w:t>,0</w:t>
      </w:r>
      <w:r w:rsidRPr="00A3602E">
        <w:rPr>
          <w:rFonts w:ascii="Arial" w:hAnsi="Arial" w:cs="Arial"/>
        </w:rPr>
        <w:t xml:space="preserve">% de la població a Catalunya es troba en risc de pobresa i/o </w:t>
      </w:r>
      <w:r w:rsidR="00214200" w:rsidRPr="00A3602E">
        <w:rPr>
          <w:rFonts w:ascii="Arial" w:hAnsi="Arial" w:cs="Arial"/>
        </w:rPr>
        <w:t>exclusió</w:t>
      </w:r>
      <w:r w:rsidR="004A0C97">
        <w:rPr>
          <w:rFonts w:ascii="Arial" w:hAnsi="Arial" w:cs="Arial"/>
        </w:rPr>
        <w:t xml:space="preserve"> social.</w:t>
      </w:r>
    </w:p>
    <w:p w:rsidR="004E4E66" w:rsidRPr="00AF6714" w:rsidRDefault="00AF6714" w:rsidP="00744C93">
      <w:pPr>
        <w:numPr>
          <w:ilvl w:val="0"/>
          <w:numId w:val="11"/>
        </w:numPr>
        <w:ind w:left="709" w:hanging="357"/>
        <w:jc w:val="both"/>
        <w:rPr>
          <w:rFonts w:ascii="Arial" w:hAnsi="Arial" w:cs="Arial"/>
        </w:rPr>
      </w:pPr>
      <w:r>
        <w:rPr>
          <w:rFonts w:ascii="Arial" w:hAnsi="Arial" w:cs="Arial"/>
          <w:color w:val="000000"/>
        </w:rPr>
        <w:t>Des d’un perspectiva de gènere, la taxa de risc de pobresa s’ha mantingut al llarg dels anys de crisi relativament més elevada per les dones que pels homes, si bé amb una tendència a la reducció de les diferències.</w:t>
      </w:r>
      <w:r w:rsidR="004B1CFF">
        <w:rPr>
          <w:rFonts w:ascii="Arial" w:hAnsi="Arial" w:cs="Arial"/>
          <w:color w:val="000000"/>
        </w:rPr>
        <w:t xml:space="preserve"> Pel que fa als joves</w:t>
      </w:r>
      <w:r w:rsidR="0039140C">
        <w:rPr>
          <w:rFonts w:ascii="Arial" w:hAnsi="Arial" w:cs="Arial"/>
          <w:color w:val="000000"/>
        </w:rPr>
        <w:t xml:space="preserve"> de menys a 18 anys</w:t>
      </w:r>
      <w:r w:rsidR="004B1CFF">
        <w:rPr>
          <w:rFonts w:ascii="Arial" w:hAnsi="Arial" w:cs="Arial"/>
          <w:color w:val="000000"/>
        </w:rPr>
        <w:t xml:space="preserve"> la taxa de risc de pobresa és molt elevada, deu punts per sobre de la població de 18 a 64 anys.</w:t>
      </w:r>
    </w:p>
    <w:p w:rsidR="00AF6714" w:rsidRPr="003C2072" w:rsidRDefault="001F2B79" w:rsidP="00744C93">
      <w:pPr>
        <w:numPr>
          <w:ilvl w:val="0"/>
          <w:numId w:val="11"/>
        </w:numPr>
        <w:ind w:left="709" w:hanging="357"/>
        <w:jc w:val="both"/>
        <w:rPr>
          <w:rFonts w:ascii="Arial" w:hAnsi="Arial" w:cs="Arial"/>
        </w:rPr>
      </w:pPr>
      <w:r>
        <w:rPr>
          <w:rFonts w:ascii="Arial" w:hAnsi="Arial" w:cs="Arial"/>
          <w:color w:val="000000"/>
        </w:rPr>
        <w:t>201 mil persones viuen l’any 2014 en llars on no hi ha cap perceptor d’ingressos, pràcticament el doble de les que hi havia abans de la crisi</w:t>
      </w:r>
      <w:r w:rsidR="003C2072">
        <w:rPr>
          <w:rFonts w:ascii="Arial" w:hAnsi="Arial" w:cs="Arial"/>
          <w:color w:val="000000"/>
        </w:rPr>
        <w:t>,</w:t>
      </w:r>
      <w:r>
        <w:rPr>
          <w:rFonts w:ascii="Arial" w:hAnsi="Arial" w:cs="Arial"/>
          <w:color w:val="000000"/>
        </w:rPr>
        <w:t xml:space="preserve"> l’any 2007.</w:t>
      </w:r>
    </w:p>
    <w:p w:rsidR="003C2072" w:rsidRDefault="003C2072" w:rsidP="00744C93">
      <w:pPr>
        <w:numPr>
          <w:ilvl w:val="0"/>
          <w:numId w:val="11"/>
        </w:numPr>
        <w:ind w:left="709" w:hanging="357"/>
        <w:jc w:val="both"/>
        <w:rPr>
          <w:rFonts w:ascii="Arial" w:hAnsi="Arial" w:cs="Arial"/>
        </w:rPr>
      </w:pPr>
      <w:r>
        <w:rPr>
          <w:rFonts w:ascii="Arial" w:hAnsi="Arial" w:cs="Arial"/>
          <w:color w:val="000000"/>
        </w:rPr>
        <w:t>El 2014, 12,9% de la població catalana té moltes dificultats per arribar a final de mes, percentatge que si bé s’ha reduït en relació amb el 2013, encara està per sobre del seu valor mitjà en els anys previs a la crisi.</w:t>
      </w:r>
    </w:p>
    <w:p w:rsidR="00744C93" w:rsidRPr="00A3602E" w:rsidRDefault="00744C93" w:rsidP="00744C93">
      <w:pPr>
        <w:jc w:val="both"/>
        <w:rPr>
          <w:rFonts w:ascii="Arial" w:hAnsi="Arial" w:cs="Arial"/>
        </w:rPr>
      </w:pPr>
    </w:p>
    <w:p w:rsidR="00370093" w:rsidRPr="00370093" w:rsidRDefault="00370093" w:rsidP="002A7658">
      <w:pPr>
        <w:jc w:val="both"/>
        <w:rPr>
          <w:rFonts w:ascii="Arial" w:hAnsi="Arial" w:cs="Arial"/>
          <w:b/>
          <w:sz w:val="24"/>
          <w:szCs w:val="24"/>
        </w:rPr>
      </w:pPr>
      <w:r>
        <w:rPr>
          <w:rFonts w:ascii="Arial" w:hAnsi="Arial" w:cs="Arial"/>
          <w:b/>
          <w:sz w:val="24"/>
          <w:szCs w:val="24"/>
        </w:rPr>
        <w:t>Pèrdua de pes de les rendes salarials</w:t>
      </w:r>
      <w:r w:rsidR="00F37C83">
        <w:rPr>
          <w:rFonts w:ascii="Arial" w:hAnsi="Arial" w:cs="Arial"/>
          <w:b/>
          <w:sz w:val="24"/>
          <w:szCs w:val="24"/>
        </w:rPr>
        <w:t>. I</w:t>
      </w:r>
      <w:r>
        <w:rPr>
          <w:rFonts w:ascii="Arial" w:hAnsi="Arial" w:cs="Arial"/>
          <w:b/>
          <w:sz w:val="24"/>
          <w:szCs w:val="24"/>
        </w:rPr>
        <w:t>ncrement de la bretxa salarial</w:t>
      </w:r>
      <w:r w:rsidR="00531705">
        <w:rPr>
          <w:rFonts w:ascii="Arial" w:hAnsi="Arial" w:cs="Arial"/>
          <w:b/>
          <w:sz w:val="24"/>
          <w:szCs w:val="24"/>
        </w:rPr>
        <w:t xml:space="preserve"> </w:t>
      </w:r>
      <w:r>
        <w:rPr>
          <w:rFonts w:ascii="Arial" w:hAnsi="Arial" w:cs="Arial"/>
          <w:b/>
          <w:sz w:val="24"/>
          <w:szCs w:val="24"/>
        </w:rPr>
        <w:t>entre homes i dones</w:t>
      </w:r>
      <w:r w:rsidR="00F37C83">
        <w:rPr>
          <w:rFonts w:ascii="Arial" w:hAnsi="Arial" w:cs="Arial"/>
          <w:b/>
          <w:sz w:val="24"/>
          <w:szCs w:val="24"/>
        </w:rPr>
        <w:t xml:space="preserve"> i risc de pobresa en el treball</w:t>
      </w:r>
    </w:p>
    <w:p w:rsidR="001341E1" w:rsidRPr="000C75A7" w:rsidRDefault="0030684F" w:rsidP="001341E1">
      <w:pPr>
        <w:numPr>
          <w:ilvl w:val="0"/>
          <w:numId w:val="11"/>
        </w:numPr>
        <w:ind w:left="709" w:hanging="319"/>
        <w:jc w:val="both"/>
        <w:rPr>
          <w:rFonts w:ascii="Arial" w:hAnsi="Arial" w:cs="Arial"/>
        </w:rPr>
      </w:pPr>
      <w:r w:rsidRPr="00B5300C">
        <w:rPr>
          <w:rFonts w:ascii="Arial" w:hAnsi="Arial" w:cs="Arial"/>
        </w:rPr>
        <w:t>U</w:t>
      </w:r>
      <w:r w:rsidRPr="00497A1C">
        <w:rPr>
          <w:rFonts w:ascii="Arial" w:hAnsi="Arial" w:cs="Arial"/>
        </w:rPr>
        <w:t>n dels factors determinants del creixement de les</w:t>
      </w:r>
      <w:r w:rsidR="007B2514">
        <w:rPr>
          <w:rFonts w:ascii="Arial" w:hAnsi="Arial" w:cs="Arial"/>
        </w:rPr>
        <w:t xml:space="preserve"> </w:t>
      </w:r>
      <w:r w:rsidRPr="00497A1C">
        <w:rPr>
          <w:rFonts w:ascii="Arial" w:hAnsi="Arial" w:cs="Arial"/>
        </w:rPr>
        <w:t xml:space="preserve">desigualtats ha estat la pèrdua de pes de les rendes salarials en la distribució de la renda. </w:t>
      </w:r>
      <w:r w:rsidR="00497A1C" w:rsidRPr="00497A1C">
        <w:rPr>
          <w:rFonts w:ascii="Arial" w:hAnsi="Arial" w:cs="Arial"/>
        </w:rPr>
        <w:t>En el cas de Catalunya</w:t>
      </w:r>
      <w:r w:rsidR="001F43A1">
        <w:rPr>
          <w:rFonts w:ascii="Arial" w:hAnsi="Arial" w:cs="Arial"/>
        </w:rPr>
        <w:t xml:space="preserve"> les rendes salarials</w:t>
      </w:r>
      <w:r w:rsidR="00497A1C" w:rsidRPr="00497A1C">
        <w:rPr>
          <w:rFonts w:ascii="Arial" w:hAnsi="Arial" w:cs="Arial"/>
        </w:rPr>
        <w:t xml:space="preserve"> experiment</w:t>
      </w:r>
      <w:r w:rsidR="00E86E01">
        <w:rPr>
          <w:rFonts w:ascii="Arial" w:hAnsi="Arial" w:cs="Arial"/>
        </w:rPr>
        <w:t>en</w:t>
      </w:r>
      <w:r w:rsidR="00497A1C" w:rsidRPr="00497A1C">
        <w:rPr>
          <w:rFonts w:ascii="Arial" w:hAnsi="Arial" w:cs="Arial"/>
        </w:rPr>
        <w:t xml:space="preserve"> una forta caiguda,</w:t>
      </w:r>
      <w:r w:rsidR="007B2514">
        <w:rPr>
          <w:rFonts w:ascii="Arial" w:hAnsi="Arial" w:cs="Arial"/>
        </w:rPr>
        <w:t xml:space="preserve"> </w:t>
      </w:r>
      <w:r w:rsidR="001F43A1">
        <w:rPr>
          <w:rFonts w:ascii="Arial" w:hAnsi="Arial" w:cs="Arial"/>
        </w:rPr>
        <w:t xml:space="preserve">com a conseqüència de la reforma laboral i les retallades salarials en la funció pública, </w:t>
      </w:r>
      <w:r w:rsidR="00497A1C" w:rsidRPr="00497A1C">
        <w:rPr>
          <w:rFonts w:ascii="Arial" w:hAnsi="Arial" w:cs="Arial"/>
        </w:rPr>
        <w:t>la qual cosa</w:t>
      </w:r>
      <w:r w:rsidR="00497A1C">
        <w:rPr>
          <w:rFonts w:ascii="Arial" w:hAnsi="Arial" w:cs="Arial"/>
        </w:rPr>
        <w:t xml:space="preserve"> contrasta amb l’evolució dels països de la Unió Europea on la participació de les rendes salarials ha guanyat pes des de </w:t>
      </w:r>
      <w:r w:rsidR="00720260">
        <w:rPr>
          <w:rFonts w:ascii="Arial" w:hAnsi="Arial" w:cs="Arial"/>
        </w:rPr>
        <w:t xml:space="preserve">l’inici </w:t>
      </w:r>
      <w:r w:rsidR="00497A1C">
        <w:rPr>
          <w:rFonts w:ascii="Arial" w:hAnsi="Arial" w:cs="Arial"/>
        </w:rPr>
        <w:t>de la crisi.</w:t>
      </w:r>
    </w:p>
    <w:p w:rsidR="001C6D58" w:rsidRPr="002D25F8" w:rsidRDefault="001C6D58" w:rsidP="00B65681">
      <w:pPr>
        <w:numPr>
          <w:ilvl w:val="0"/>
          <w:numId w:val="11"/>
        </w:numPr>
        <w:ind w:left="709" w:hanging="319"/>
        <w:jc w:val="both"/>
        <w:rPr>
          <w:rFonts w:ascii="Arial" w:hAnsi="Arial" w:cs="Arial"/>
        </w:rPr>
      </w:pPr>
      <w:r w:rsidRPr="002D25F8">
        <w:rPr>
          <w:rFonts w:ascii="Arial" w:hAnsi="Arial" w:cs="Arial"/>
        </w:rPr>
        <w:lastRenderedPageBreak/>
        <w:t>D’altra banda, el retrocés de la capacitat adquisitiva de les rendes salarials afecta amb més intensitat a les més baixe</w:t>
      </w:r>
      <w:r w:rsidR="00AF5237" w:rsidRPr="002D25F8">
        <w:rPr>
          <w:rFonts w:ascii="Arial" w:hAnsi="Arial" w:cs="Arial"/>
        </w:rPr>
        <w:t xml:space="preserve">s. </w:t>
      </w:r>
      <w:r w:rsidR="00370093" w:rsidRPr="002D25F8">
        <w:rPr>
          <w:rFonts w:ascii="Arial" w:hAnsi="Arial" w:cs="Arial"/>
        </w:rPr>
        <w:t>Així mateix m</w:t>
      </w:r>
      <w:r w:rsidR="00E86E01" w:rsidRPr="002D25F8">
        <w:rPr>
          <w:rFonts w:ascii="Arial" w:hAnsi="Arial" w:cs="Arial"/>
        </w:rPr>
        <w:t>entre que la capacitat adquisitiva dels sous dels directius ha augmentat, la de la resta d’empleats ha caigut.</w:t>
      </w:r>
    </w:p>
    <w:p w:rsidR="002D25F8" w:rsidRPr="000D4044" w:rsidRDefault="002D25F8" w:rsidP="002D25F8">
      <w:pPr>
        <w:numPr>
          <w:ilvl w:val="0"/>
          <w:numId w:val="11"/>
        </w:numPr>
        <w:ind w:left="709" w:hanging="319"/>
        <w:jc w:val="both"/>
        <w:rPr>
          <w:rFonts w:ascii="Arial" w:hAnsi="Arial" w:cs="Arial"/>
        </w:rPr>
      </w:pPr>
      <w:r w:rsidRPr="000D4044">
        <w:rPr>
          <w:rFonts w:ascii="Arial" w:hAnsi="Arial" w:cs="Arial"/>
        </w:rPr>
        <w:t>La bretxa salarial entre homes i dones s’incrementa a Catalunya de forma sensible i se situa 4 punts per sobre de la mitjana europea.</w:t>
      </w:r>
    </w:p>
    <w:p w:rsidR="002D25F8" w:rsidRPr="000D4044" w:rsidRDefault="002D25F8" w:rsidP="002D25F8">
      <w:pPr>
        <w:numPr>
          <w:ilvl w:val="0"/>
          <w:numId w:val="11"/>
        </w:numPr>
        <w:ind w:left="709" w:hanging="319"/>
        <w:jc w:val="both"/>
        <w:rPr>
          <w:rFonts w:ascii="Arial" w:hAnsi="Arial" w:cs="Arial"/>
        </w:rPr>
      </w:pPr>
      <w:r w:rsidRPr="000D4044">
        <w:rPr>
          <w:rFonts w:ascii="Arial" w:hAnsi="Arial" w:cs="Arial"/>
        </w:rPr>
        <w:t>Un 1</w:t>
      </w:r>
      <w:r w:rsidR="001341E1">
        <w:rPr>
          <w:rFonts w:ascii="Arial" w:hAnsi="Arial" w:cs="Arial"/>
        </w:rPr>
        <w:t>1,7</w:t>
      </w:r>
      <w:r w:rsidRPr="000D4044">
        <w:rPr>
          <w:rFonts w:ascii="Arial" w:hAnsi="Arial" w:cs="Arial"/>
        </w:rPr>
        <w:t>% dels treballadors i treballadores a casa nostra són pobres, al obtenir uns ingressos per la seva feina per sota del llindar del risc a la pobresa.</w:t>
      </w:r>
    </w:p>
    <w:p w:rsidR="000E4917" w:rsidRDefault="000E4917" w:rsidP="005A4E59">
      <w:pPr>
        <w:jc w:val="both"/>
        <w:rPr>
          <w:rFonts w:ascii="Arial" w:hAnsi="Arial" w:cs="Arial"/>
        </w:rPr>
      </w:pPr>
    </w:p>
    <w:p w:rsidR="000E4917" w:rsidRDefault="000E4917">
      <w:pPr>
        <w:spacing w:after="0" w:line="240" w:lineRule="auto"/>
        <w:rPr>
          <w:rFonts w:ascii="Arial" w:hAnsi="Arial" w:cs="Arial"/>
        </w:rPr>
      </w:pPr>
      <w:r>
        <w:rPr>
          <w:rFonts w:ascii="Arial" w:hAnsi="Arial" w:cs="Arial"/>
        </w:rPr>
        <w:br w:type="page"/>
      </w:r>
    </w:p>
    <w:p w:rsidR="005A4E59" w:rsidRDefault="0001032B" w:rsidP="00744C93">
      <w:pPr>
        <w:numPr>
          <w:ilvl w:val="0"/>
          <w:numId w:val="15"/>
        </w:numPr>
        <w:ind w:left="425" w:hanging="425"/>
        <w:jc w:val="both"/>
        <w:rPr>
          <w:rFonts w:ascii="Arial" w:hAnsi="Arial" w:cs="Arial"/>
          <w:b/>
          <w:sz w:val="28"/>
          <w:szCs w:val="28"/>
        </w:rPr>
      </w:pPr>
      <w:r w:rsidRPr="0001032B">
        <w:rPr>
          <w:rFonts w:ascii="Arial" w:hAnsi="Arial" w:cs="Arial"/>
          <w:b/>
          <w:sz w:val="28"/>
          <w:szCs w:val="28"/>
        </w:rPr>
        <w:lastRenderedPageBreak/>
        <w:t>Conclusions</w:t>
      </w:r>
    </w:p>
    <w:p w:rsidR="0001032B" w:rsidRDefault="0001032B" w:rsidP="005A4E59">
      <w:pPr>
        <w:jc w:val="both"/>
        <w:rPr>
          <w:rFonts w:ascii="Arial" w:hAnsi="Arial" w:cs="Arial"/>
        </w:rPr>
      </w:pPr>
      <w:r w:rsidRPr="0001032B">
        <w:rPr>
          <w:rFonts w:ascii="Arial" w:hAnsi="Arial" w:cs="Arial"/>
        </w:rPr>
        <w:t xml:space="preserve">Catalunya </w:t>
      </w:r>
      <w:r>
        <w:rPr>
          <w:rFonts w:ascii="Arial" w:hAnsi="Arial" w:cs="Arial"/>
        </w:rPr>
        <w:t>és</w:t>
      </w:r>
      <w:r w:rsidR="00A96F0D">
        <w:rPr>
          <w:rFonts w:ascii="Arial" w:hAnsi="Arial" w:cs="Arial"/>
        </w:rPr>
        <w:t xml:space="preserve"> un </w:t>
      </w:r>
      <w:r>
        <w:rPr>
          <w:rFonts w:ascii="Arial" w:hAnsi="Arial" w:cs="Arial"/>
        </w:rPr>
        <w:t>dels països on més han augmentat les desigualtats</w:t>
      </w:r>
      <w:r w:rsidR="009E3F03">
        <w:rPr>
          <w:rFonts w:ascii="Arial" w:hAnsi="Arial" w:cs="Arial"/>
        </w:rPr>
        <w:t>,</w:t>
      </w:r>
      <w:r w:rsidR="001419A9">
        <w:rPr>
          <w:rFonts w:ascii="Arial" w:hAnsi="Arial" w:cs="Arial"/>
        </w:rPr>
        <w:t xml:space="preserve"> amb una concentració de la renda en la població més rica.</w:t>
      </w:r>
      <w:r w:rsidR="00C66C7F">
        <w:rPr>
          <w:rFonts w:ascii="Arial" w:hAnsi="Arial" w:cs="Arial"/>
        </w:rPr>
        <w:t xml:space="preserve"> En el anys previs a la crisi els nivells de desigualtat a Catalunya eren inferiors</w:t>
      </w:r>
      <w:r w:rsidR="0090644B">
        <w:rPr>
          <w:rFonts w:ascii="Arial" w:hAnsi="Arial" w:cs="Arial"/>
        </w:rPr>
        <w:t xml:space="preserve"> a la mitjana europea.</w:t>
      </w:r>
    </w:p>
    <w:p w:rsidR="001419A9" w:rsidRDefault="00C66C7F" w:rsidP="005A4E59">
      <w:pPr>
        <w:jc w:val="both"/>
        <w:rPr>
          <w:rFonts w:ascii="Arial" w:hAnsi="Arial" w:cs="Arial"/>
        </w:rPr>
      </w:pPr>
      <w:r>
        <w:rPr>
          <w:rFonts w:ascii="Arial" w:hAnsi="Arial" w:cs="Arial"/>
        </w:rPr>
        <w:t xml:space="preserve">Factors determinants han estat </w:t>
      </w:r>
      <w:r w:rsidR="000511E8">
        <w:rPr>
          <w:rFonts w:ascii="Arial" w:hAnsi="Arial" w:cs="Arial"/>
        </w:rPr>
        <w:t xml:space="preserve">la destrucció d’ocupació, </w:t>
      </w:r>
      <w:r w:rsidR="009E3F03">
        <w:rPr>
          <w:rFonts w:ascii="Arial" w:hAnsi="Arial" w:cs="Arial"/>
        </w:rPr>
        <w:t>el</w:t>
      </w:r>
      <w:r>
        <w:rPr>
          <w:rFonts w:ascii="Arial" w:hAnsi="Arial" w:cs="Arial"/>
        </w:rPr>
        <w:t xml:space="preserve"> menor</w:t>
      </w:r>
      <w:r w:rsidR="009E3F03">
        <w:rPr>
          <w:rFonts w:ascii="Arial" w:hAnsi="Arial" w:cs="Arial"/>
        </w:rPr>
        <w:t xml:space="preserve"> pes de la</w:t>
      </w:r>
      <w:r>
        <w:rPr>
          <w:rFonts w:ascii="Arial" w:hAnsi="Arial" w:cs="Arial"/>
        </w:rPr>
        <w:t xml:space="preserve"> despesa social</w:t>
      </w:r>
      <w:r w:rsidR="00301318">
        <w:rPr>
          <w:rFonts w:ascii="Arial" w:hAnsi="Arial" w:cs="Arial"/>
        </w:rPr>
        <w:t>,</w:t>
      </w:r>
      <w:r w:rsidR="000C75A7">
        <w:rPr>
          <w:rFonts w:ascii="Arial" w:hAnsi="Arial" w:cs="Arial"/>
        </w:rPr>
        <w:t xml:space="preserve"> </w:t>
      </w:r>
      <w:r w:rsidR="00A47F1E">
        <w:rPr>
          <w:rFonts w:ascii="Arial" w:hAnsi="Arial" w:cs="Arial"/>
        </w:rPr>
        <w:t>les rebaixes fiscals sobre la renda i la riquesa</w:t>
      </w:r>
      <w:r w:rsidR="004E4E66">
        <w:rPr>
          <w:rFonts w:ascii="Arial" w:hAnsi="Arial" w:cs="Arial"/>
        </w:rPr>
        <w:t xml:space="preserve"> </w:t>
      </w:r>
      <w:r w:rsidR="000511E8">
        <w:rPr>
          <w:rFonts w:ascii="Arial" w:hAnsi="Arial" w:cs="Arial"/>
        </w:rPr>
        <w:t xml:space="preserve">i </w:t>
      </w:r>
      <w:r w:rsidR="009E3F03">
        <w:rPr>
          <w:rFonts w:ascii="Arial" w:hAnsi="Arial" w:cs="Arial"/>
        </w:rPr>
        <w:t xml:space="preserve">el retrocés </w:t>
      </w:r>
      <w:r w:rsidR="001419A9">
        <w:rPr>
          <w:rFonts w:ascii="Arial" w:hAnsi="Arial" w:cs="Arial"/>
        </w:rPr>
        <w:t>dels salaris en la distribució de la renda. A</w:t>
      </w:r>
      <w:r w:rsidR="009E3F03">
        <w:rPr>
          <w:rFonts w:ascii="Arial" w:hAnsi="Arial" w:cs="Arial"/>
        </w:rPr>
        <w:t>ixò</w:t>
      </w:r>
      <w:r w:rsidR="001419A9">
        <w:rPr>
          <w:rFonts w:ascii="Arial" w:hAnsi="Arial" w:cs="Arial"/>
        </w:rPr>
        <w:t xml:space="preserve"> ha afecta</w:t>
      </w:r>
      <w:r w:rsidR="009E3F03">
        <w:rPr>
          <w:rFonts w:ascii="Arial" w:hAnsi="Arial" w:cs="Arial"/>
        </w:rPr>
        <w:t>t</w:t>
      </w:r>
      <w:r w:rsidR="001419A9">
        <w:rPr>
          <w:rFonts w:ascii="Arial" w:hAnsi="Arial" w:cs="Arial"/>
        </w:rPr>
        <w:t xml:space="preserve"> amb més intensitat a les rendes salarials més baixes.</w:t>
      </w:r>
    </w:p>
    <w:p w:rsidR="00C66C7F" w:rsidRDefault="00C66C7F" w:rsidP="005A4E59">
      <w:pPr>
        <w:jc w:val="both"/>
        <w:rPr>
          <w:rFonts w:ascii="Arial" w:hAnsi="Arial" w:cs="Arial"/>
        </w:rPr>
      </w:pPr>
      <w:r>
        <w:rPr>
          <w:rFonts w:ascii="Arial" w:hAnsi="Arial" w:cs="Arial"/>
        </w:rPr>
        <w:t>Aquesta situació contrasta amb l’evolució dels països de la Unió Europea on la participació de les rendes salarial</w:t>
      </w:r>
      <w:r w:rsidR="000C75A7">
        <w:rPr>
          <w:rFonts w:ascii="Arial" w:hAnsi="Arial" w:cs="Arial"/>
        </w:rPr>
        <w:t>s ha guanyat pes des de l’inici</w:t>
      </w:r>
      <w:r>
        <w:rPr>
          <w:rFonts w:ascii="Arial" w:hAnsi="Arial" w:cs="Arial"/>
        </w:rPr>
        <w:t xml:space="preserve"> de la crisi</w:t>
      </w:r>
      <w:r w:rsidR="0090644B">
        <w:rPr>
          <w:rFonts w:ascii="Arial" w:hAnsi="Arial" w:cs="Arial"/>
        </w:rPr>
        <w:t>.</w:t>
      </w:r>
    </w:p>
    <w:p w:rsidR="0090644B" w:rsidRPr="004E4E66" w:rsidRDefault="0090644B" w:rsidP="005A4E59">
      <w:pPr>
        <w:jc w:val="both"/>
        <w:rPr>
          <w:rFonts w:ascii="Arial" w:hAnsi="Arial" w:cs="Arial"/>
        </w:rPr>
      </w:pPr>
      <w:r w:rsidRPr="004E4E66">
        <w:rPr>
          <w:rFonts w:ascii="Arial" w:hAnsi="Arial" w:cs="Arial"/>
        </w:rPr>
        <w:t>S’ha incrementat la bretxa salarial entre homes i dones mentre que a la Unió Europea s’ha reduït en el mateix període.</w:t>
      </w:r>
    </w:p>
    <w:p w:rsidR="00B5663A" w:rsidRPr="004E4E66" w:rsidRDefault="00A47F1E" w:rsidP="005A4E59">
      <w:pPr>
        <w:jc w:val="both"/>
        <w:rPr>
          <w:rFonts w:ascii="Arial" w:hAnsi="Arial" w:cs="Arial"/>
        </w:rPr>
      </w:pPr>
      <w:r>
        <w:rPr>
          <w:rFonts w:ascii="Arial" w:hAnsi="Arial" w:cs="Arial"/>
        </w:rPr>
        <w:t>En el conjunt del període</w:t>
      </w:r>
      <w:r w:rsidR="00E20157" w:rsidRPr="004E4E66">
        <w:rPr>
          <w:rFonts w:ascii="Arial" w:hAnsi="Arial" w:cs="Arial"/>
        </w:rPr>
        <w:t xml:space="preserve"> s’ha precaritzat</w:t>
      </w:r>
      <w:r w:rsidR="009E3F03" w:rsidRPr="004E4E66">
        <w:rPr>
          <w:rFonts w:ascii="Arial" w:hAnsi="Arial" w:cs="Arial"/>
        </w:rPr>
        <w:t xml:space="preserve"> l’ocupació. S’incrementa la temporalitat</w:t>
      </w:r>
      <w:r w:rsidR="00E20157" w:rsidRPr="004E4E66">
        <w:rPr>
          <w:rFonts w:ascii="Arial" w:hAnsi="Arial" w:cs="Arial"/>
        </w:rPr>
        <w:t xml:space="preserve"> i </w:t>
      </w:r>
      <w:r w:rsidR="009E3F03" w:rsidRPr="004E4E66">
        <w:rPr>
          <w:rFonts w:ascii="Arial" w:hAnsi="Arial" w:cs="Arial"/>
        </w:rPr>
        <w:t>es substitueix</w:t>
      </w:r>
      <w:r w:rsidR="00E20157" w:rsidRPr="004E4E66">
        <w:rPr>
          <w:rFonts w:ascii="Arial" w:hAnsi="Arial" w:cs="Arial"/>
        </w:rPr>
        <w:t xml:space="preserve"> treball a jornada completa per treball a temps parcial.</w:t>
      </w:r>
    </w:p>
    <w:p w:rsidR="009E3F03" w:rsidRPr="004E4E66" w:rsidRDefault="009E3F03" w:rsidP="005A4E59">
      <w:pPr>
        <w:jc w:val="both"/>
        <w:rPr>
          <w:rFonts w:ascii="Arial" w:hAnsi="Arial" w:cs="Arial"/>
        </w:rPr>
      </w:pPr>
      <w:r w:rsidRPr="004E4E66">
        <w:rPr>
          <w:rFonts w:ascii="Arial" w:hAnsi="Arial" w:cs="Arial"/>
        </w:rPr>
        <w:t>Cau la protecció a les persones en situació d’atur: només un 3</w:t>
      </w:r>
      <w:r w:rsidR="00A47F1E">
        <w:rPr>
          <w:rFonts w:ascii="Arial" w:hAnsi="Arial" w:cs="Arial"/>
        </w:rPr>
        <w:t>0,9</w:t>
      </w:r>
      <w:r w:rsidRPr="004E4E66">
        <w:rPr>
          <w:rFonts w:ascii="Arial" w:hAnsi="Arial" w:cs="Arial"/>
        </w:rPr>
        <w:t>% rep alguna prestació o ajuda pública.</w:t>
      </w:r>
    </w:p>
    <w:p w:rsidR="00541A6F" w:rsidRPr="004E4E66" w:rsidRDefault="00541A6F" w:rsidP="005A4E59">
      <w:pPr>
        <w:jc w:val="both"/>
        <w:rPr>
          <w:rFonts w:ascii="Arial" w:hAnsi="Arial" w:cs="Arial"/>
        </w:rPr>
      </w:pPr>
      <w:r w:rsidRPr="004E4E66">
        <w:rPr>
          <w:rFonts w:ascii="Arial" w:hAnsi="Arial" w:cs="Arial"/>
        </w:rPr>
        <w:t xml:space="preserve">La pobresa </w:t>
      </w:r>
      <w:r w:rsidR="00A47F1E">
        <w:rPr>
          <w:rFonts w:ascii="Arial" w:hAnsi="Arial" w:cs="Arial"/>
        </w:rPr>
        <w:t>es cronifica i</w:t>
      </w:r>
      <w:r w:rsidRPr="004E4E66">
        <w:rPr>
          <w:rFonts w:ascii="Arial" w:hAnsi="Arial" w:cs="Arial"/>
        </w:rPr>
        <w:t xml:space="preserve"> una quart</w:t>
      </w:r>
      <w:r w:rsidR="00FB33CC" w:rsidRPr="004E4E66">
        <w:rPr>
          <w:rFonts w:ascii="Arial" w:hAnsi="Arial" w:cs="Arial"/>
        </w:rPr>
        <w:t>a part</w:t>
      </w:r>
      <w:r w:rsidRPr="004E4E66">
        <w:rPr>
          <w:rFonts w:ascii="Arial" w:hAnsi="Arial" w:cs="Arial"/>
        </w:rPr>
        <w:t xml:space="preserve"> de la població es troba en risc de pobresa o exclusió social.</w:t>
      </w:r>
      <w:r w:rsidR="004B1CFF">
        <w:rPr>
          <w:rFonts w:ascii="Arial" w:hAnsi="Arial" w:cs="Arial"/>
        </w:rPr>
        <w:t xml:space="preserve"> Destaca la pobresa del joves</w:t>
      </w:r>
      <w:r w:rsidR="0039140C">
        <w:rPr>
          <w:rFonts w:ascii="Arial" w:hAnsi="Arial" w:cs="Arial"/>
        </w:rPr>
        <w:t xml:space="preserve"> de menys de 18 anys</w:t>
      </w:r>
      <w:r w:rsidR="004B1CFF">
        <w:rPr>
          <w:rFonts w:ascii="Arial" w:hAnsi="Arial" w:cs="Arial"/>
        </w:rPr>
        <w:t xml:space="preserve"> que està molt per sobre de la mitjana.</w:t>
      </w:r>
    </w:p>
    <w:p w:rsidR="0090644B" w:rsidRPr="004E4E66" w:rsidRDefault="00E20157" w:rsidP="005A4E59">
      <w:pPr>
        <w:jc w:val="both"/>
        <w:rPr>
          <w:rFonts w:ascii="Arial" w:hAnsi="Arial" w:cs="Arial"/>
        </w:rPr>
      </w:pPr>
      <w:r w:rsidRPr="004E4E66">
        <w:rPr>
          <w:rFonts w:ascii="Arial" w:hAnsi="Arial" w:cs="Arial"/>
        </w:rPr>
        <w:t>En aquest context, c</w:t>
      </w:r>
      <w:r w:rsidR="0090644B" w:rsidRPr="004E4E66">
        <w:rPr>
          <w:rFonts w:ascii="Arial" w:hAnsi="Arial" w:cs="Arial"/>
        </w:rPr>
        <w:t>obra pr</w:t>
      </w:r>
      <w:r w:rsidR="00985342" w:rsidRPr="004E4E66">
        <w:rPr>
          <w:rFonts w:ascii="Arial" w:hAnsi="Arial" w:cs="Arial"/>
        </w:rPr>
        <w:t>esència</w:t>
      </w:r>
      <w:r w:rsidR="002A686D">
        <w:rPr>
          <w:rFonts w:ascii="Arial" w:hAnsi="Arial" w:cs="Arial"/>
        </w:rPr>
        <w:t xml:space="preserve"> </w:t>
      </w:r>
      <w:r w:rsidR="00985342" w:rsidRPr="004E4E66">
        <w:rPr>
          <w:rFonts w:ascii="Arial" w:hAnsi="Arial" w:cs="Arial"/>
        </w:rPr>
        <w:t>l</w:t>
      </w:r>
      <w:r w:rsidR="0090644B" w:rsidRPr="004E4E66">
        <w:rPr>
          <w:rFonts w:ascii="Arial" w:hAnsi="Arial" w:cs="Arial"/>
        </w:rPr>
        <w:t>a figura del treballador o treballadora pobre que tot i tenir ocupació obté uns ingressos per sota del llindar de la pobresa.</w:t>
      </w:r>
    </w:p>
    <w:p w:rsidR="0080380D" w:rsidRDefault="00985342" w:rsidP="0005475C">
      <w:pPr>
        <w:jc w:val="both"/>
        <w:rPr>
          <w:rFonts w:ascii="Arial" w:hAnsi="Arial" w:cs="Arial"/>
        </w:rPr>
      </w:pPr>
      <w:r w:rsidRPr="004E4E66">
        <w:rPr>
          <w:rFonts w:ascii="Arial" w:hAnsi="Arial" w:cs="Arial"/>
        </w:rPr>
        <w:t>Les persones joves</w:t>
      </w:r>
      <w:r w:rsidR="0039140C">
        <w:rPr>
          <w:rFonts w:ascii="Arial" w:hAnsi="Arial" w:cs="Arial"/>
        </w:rPr>
        <w:t xml:space="preserve"> de 16 a 24 anys</w:t>
      </w:r>
      <w:r w:rsidRPr="004E4E66">
        <w:rPr>
          <w:rFonts w:ascii="Arial" w:hAnsi="Arial" w:cs="Arial"/>
        </w:rPr>
        <w:t xml:space="preserve"> són el col·lectiu més afectat per l’atur i la precarietat laboral i són els grans damnificats d’un sistema educatiu que no garanteix la igualtat d’oportunitats.</w:t>
      </w:r>
    </w:p>
    <w:p w:rsidR="009E3F03" w:rsidRDefault="009E3F03" w:rsidP="0005475C">
      <w:pPr>
        <w:jc w:val="both"/>
        <w:rPr>
          <w:rFonts w:ascii="Arial" w:hAnsi="Arial" w:cs="Arial"/>
        </w:rPr>
      </w:pPr>
      <w:r>
        <w:rPr>
          <w:rFonts w:ascii="Arial" w:hAnsi="Arial" w:cs="Arial"/>
        </w:rPr>
        <w:t>En el mateix període de referència la pressió fiscal a Catalunya s’ha situat set punts per sota de la mitjana europea, la qual cosa limita la capacitat per lluitar contra les desigualtats socials.</w:t>
      </w:r>
    </w:p>
    <w:p w:rsidR="002B2827" w:rsidRDefault="0080380D" w:rsidP="0005475C">
      <w:pPr>
        <w:jc w:val="both"/>
        <w:rPr>
          <w:rFonts w:ascii="Arial" w:hAnsi="Arial" w:cs="Arial"/>
        </w:rPr>
      </w:pPr>
      <w:r>
        <w:rPr>
          <w:rFonts w:ascii="Arial" w:hAnsi="Arial" w:cs="Arial"/>
        </w:rPr>
        <w:t>Els resultats mostren que la crisi no s’ha repartit de forma equitativa, que s’han incrementat les desigualtats</w:t>
      </w:r>
      <w:r w:rsidR="00FB7A17">
        <w:rPr>
          <w:rFonts w:ascii="Arial" w:hAnsi="Arial" w:cs="Arial"/>
        </w:rPr>
        <w:t xml:space="preserve"> i la pobresa</w:t>
      </w:r>
      <w:r>
        <w:rPr>
          <w:rFonts w:ascii="Arial" w:hAnsi="Arial" w:cs="Arial"/>
        </w:rPr>
        <w:t xml:space="preserve"> i que les polítiques de retallades han jugat un paper determinant.</w:t>
      </w:r>
    </w:p>
    <w:p w:rsidR="00A3602E" w:rsidRDefault="00A3602E" w:rsidP="0005475C">
      <w:pPr>
        <w:jc w:val="both"/>
        <w:rPr>
          <w:rFonts w:ascii="Arial" w:hAnsi="Arial" w:cs="Arial"/>
        </w:rPr>
      </w:pPr>
      <w:r>
        <w:rPr>
          <w:rFonts w:ascii="Arial" w:hAnsi="Arial" w:cs="Arial"/>
        </w:rPr>
        <w:t xml:space="preserve">L’increment de les </w:t>
      </w:r>
      <w:r w:rsidR="007172F6">
        <w:rPr>
          <w:rFonts w:ascii="Arial" w:hAnsi="Arial" w:cs="Arial"/>
        </w:rPr>
        <w:t>desigualtats</w:t>
      </w:r>
      <w:r>
        <w:rPr>
          <w:rFonts w:ascii="Arial" w:hAnsi="Arial" w:cs="Arial"/>
        </w:rPr>
        <w:t xml:space="preserve"> dificulta la recuperació econòmica i pr</w:t>
      </w:r>
      <w:r w:rsidR="004A0C97">
        <w:rPr>
          <w:rFonts w:ascii="Arial" w:hAnsi="Arial" w:cs="Arial"/>
        </w:rPr>
        <w:t>ovoca fractures en la societat.</w:t>
      </w:r>
    </w:p>
    <w:p w:rsidR="00432815" w:rsidRDefault="00432815" w:rsidP="0005475C">
      <w:pPr>
        <w:jc w:val="both"/>
        <w:rPr>
          <w:rFonts w:ascii="Arial" w:hAnsi="Arial" w:cs="Arial"/>
        </w:rPr>
      </w:pPr>
    </w:p>
    <w:p w:rsidR="00432815" w:rsidRDefault="00432815" w:rsidP="0005475C">
      <w:pPr>
        <w:jc w:val="both"/>
        <w:rPr>
          <w:rFonts w:ascii="Arial" w:hAnsi="Arial" w:cs="Arial"/>
        </w:rPr>
      </w:pPr>
    </w:p>
    <w:p w:rsidR="00432815" w:rsidRDefault="00432815" w:rsidP="0005475C">
      <w:pPr>
        <w:jc w:val="both"/>
        <w:rPr>
          <w:rFonts w:ascii="Arial" w:hAnsi="Arial" w:cs="Arial"/>
        </w:rPr>
      </w:pPr>
    </w:p>
    <w:p w:rsidR="00432815" w:rsidRDefault="00432815" w:rsidP="0005475C">
      <w:pPr>
        <w:jc w:val="both"/>
        <w:rPr>
          <w:rFonts w:ascii="Arial" w:hAnsi="Arial" w:cs="Arial"/>
        </w:rPr>
      </w:pPr>
    </w:p>
    <w:p w:rsidR="00432815" w:rsidRDefault="00432815" w:rsidP="0005475C">
      <w:pPr>
        <w:jc w:val="both"/>
        <w:rPr>
          <w:rFonts w:ascii="Arial" w:hAnsi="Arial" w:cs="Arial"/>
        </w:rPr>
      </w:pPr>
    </w:p>
    <w:p w:rsidR="00385927" w:rsidRDefault="00432815" w:rsidP="00432815">
      <w:pPr>
        <w:jc w:val="both"/>
        <w:rPr>
          <w:rFonts w:ascii="Arial" w:hAnsi="Arial" w:cs="Arial"/>
          <w:b/>
          <w:sz w:val="28"/>
          <w:szCs w:val="28"/>
        </w:rPr>
      </w:pPr>
      <w:r>
        <w:rPr>
          <w:rFonts w:ascii="Arial" w:hAnsi="Arial" w:cs="Arial"/>
          <w:b/>
          <w:sz w:val="28"/>
          <w:szCs w:val="28"/>
        </w:rPr>
        <w:t>9.- Diferències significatives en relació a l’Informe de l’any anterior</w:t>
      </w:r>
    </w:p>
    <w:p w:rsidR="00FF6212" w:rsidRDefault="00432815" w:rsidP="00432815">
      <w:pPr>
        <w:jc w:val="both"/>
        <w:rPr>
          <w:rFonts w:ascii="Arial" w:hAnsi="Arial" w:cs="Arial"/>
        </w:rPr>
      </w:pPr>
      <w:r>
        <w:rPr>
          <w:rFonts w:ascii="Arial" w:hAnsi="Arial" w:cs="Arial"/>
        </w:rPr>
        <w:t>Amb les últimes dades</w:t>
      </w:r>
      <w:r w:rsidR="00E834EF">
        <w:rPr>
          <w:rFonts w:ascii="Arial" w:hAnsi="Arial" w:cs="Arial"/>
        </w:rPr>
        <w:t xml:space="preserve"> de mitjana anual</w:t>
      </w:r>
      <w:r>
        <w:rPr>
          <w:rFonts w:ascii="Arial" w:hAnsi="Arial" w:cs="Arial"/>
        </w:rPr>
        <w:t xml:space="preserve"> disponibles (2013 i 2014), s’accentuen les tendències negatives </w:t>
      </w:r>
      <w:r w:rsidR="00902470">
        <w:rPr>
          <w:rFonts w:ascii="Arial" w:hAnsi="Arial" w:cs="Arial"/>
        </w:rPr>
        <w:t xml:space="preserve">observades en l’Informe anterior </w:t>
      </w:r>
      <w:r>
        <w:rPr>
          <w:rFonts w:ascii="Arial" w:hAnsi="Arial" w:cs="Arial"/>
        </w:rPr>
        <w:t>pel que fa a l’increment de les desigualtats a Catalunya</w:t>
      </w:r>
      <w:r w:rsidR="00DF1F34">
        <w:rPr>
          <w:rFonts w:ascii="Arial" w:hAnsi="Arial" w:cs="Arial"/>
        </w:rPr>
        <w:t xml:space="preserve">, </w:t>
      </w:r>
      <w:r>
        <w:rPr>
          <w:rFonts w:ascii="Arial" w:hAnsi="Arial" w:cs="Arial"/>
        </w:rPr>
        <w:t>augmenta</w:t>
      </w:r>
      <w:r w:rsidR="00DF1F34">
        <w:rPr>
          <w:rFonts w:ascii="Arial" w:hAnsi="Arial" w:cs="Arial"/>
        </w:rPr>
        <w:t xml:space="preserve"> </w:t>
      </w:r>
      <w:r w:rsidR="00A0485E">
        <w:rPr>
          <w:rFonts w:ascii="Arial" w:hAnsi="Arial" w:cs="Arial"/>
        </w:rPr>
        <w:t xml:space="preserve">la </w:t>
      </w:r>
      <w:r w:rsidR="00DF1F34">
        <w:rPr>
          <w:rFonts w:ascii="Arial" w:hAnsi="Arial" w:cs="Arial"/>
        </w:rPr>
        <w:t>bretxa social i</w:t>
      </w:r>
      <w:r>
        <w:rPr>
          <w:rFonts w:ascii="Arial" w:hAnsi="Arial" w:cs="Arial"/>
        </w:rPr>
        <w:t xml:space="preserve"> la distància que ens separa de la Unió Europea en quan a benestar.</w:t>
      </w:r>
      <w:r w:rsidR="00DC142B">
        <w:rPr>
          <w:rFonts w:ascii="Arial" w:hAnsi="Arial" w:cs="Arial"/>
        </w:rPr>
        <w:t xml:space="preserve"> </w:t>
      </w:r>
      <w:r w:rsidR="00FF6212">
        <w:rPr>
          <w:rFonts w:ascii="Arial" w:hAnsi="Arial" w:cs="Arial"/>
        </w:rPr>
        <w:t xml:space="preserve">L’augment de les desigualtats </w:t>
      </w:r>
      <w:r w:rsidR="00DC142B">
        <w:rPr>
          <w:rFonts w:ascii="Arial" w:hAnsi="Arial" w:cs="Arial"/>
        </w:rPr>
        <w:t>dificulta</w:t>
      </w:r>
      <w:r w:rsidR="00FF6212">
        <w:rPr>
          <w:rFonts w:ascii="Arial" w:hAnsi="Arial" w:cs="Arial"/>
        </w:rPr>
        <w:t xml:space="preserve"> la recuperació econòmica i </w:t>
      </w:r>
      <w:r w:rsidR="00DC142B">
        <w:rPr>
          <w:rFonts w:ascii="Arial" w:hAnsi="Arial" w:cs="Arial"/>
        </w:rPr>
        <w:t>afebleix</w:t>
      </w:r>
      <w:r w:rsidR="00FF6212">
        <w:rPr>
          <w:rFonts w:ascii="Arial" w:hAnsi="Arial" w:cs="Arial"/>
        </w:rPr>
        <w:t xml:space="preserve"> la cohesió social.</w:t>
      </w:r>
    </w:p>
    <w:p w:rsidR="00432815" w:rsidRDefault="00432815" w:rsidP="00432815">
      <w:pPr>
        <w:jc w:val="both"/>
        <w:rPr>
          <w:rFonts w:ascii="Arial" w:hAnsi="Arial" w:cs="Arial"/>
        </w:rPr>
      </w:pPr>
      <w:r>
        <w:rPr>
          <w:rFonts w:ascii="Arial" w:hAnsi="Arial" w:cs="Arial"/>
        </w:rPr>
        <w:t>En el mercat de treball es produeix una recuperació de l’ocupació però</w:t>
      </w:r>
      <w:r w:rsidR="00E834EF">
        <w:rPr>
          <w:rFonts w:ascii="Arial" w:hAnsi="Arial" w:cs="Arial"/>
        </w:rPr>
        <w:t xml:space="preserve"> de baixa qualitat i</w:t>
      </w:r>
      <w:r>
        <w:rPr>
          <w:rFonts w:ascii="Arial" w:hAnsi="Arial" w:cs="Arial"/>
        </w:rPr>
        <w:t xml:space="preserve"> amb pitjors condicions laborals</w:t>
      </w:r>
      <w:r w:rsidR="00FF6212">
        <w:rPr>
          <w:rFonts w:ascii="Arial" w:hAnsi="Arial" w:cs="Arial"/>
        </w:rPr>
        <w:t>,</w:t>
      </w:r>
      <w:r>
        <w:rPr>
          <w:rFonts w:ascii="Arial" w:hAnsi="Arial" w:cs="Arial"/>
        </w:rPr>
        <w:t xml:space="preserve"> la qual cosa provoca que no es redueixin les desigualtats</w:t>
      </w:r>
      <w:r w:rsidR="00FF6212">
        <w:rPr>
          <w:rFonts w:ascii="Arial" w:hAnsi="Arial" w:cs="Arial"/>
        </w:rPr>
        <w:t xml:space="preserve"> i que fins i tot augmentin</w:t>
      </w:r>
      <w:r w:rsidR="00902470">
        <w:rPr>
          <w:rFonts w:ascii="Arial" w:hAnsi="Arial" w:cs="Arial"/>
        </w:rPr>
        <w:t>.</w:t>
      </w:r>
    </w:p>
    <w:p w:rsidR="00432815" w:rsidRDefault="00432815" w:rsidP="00432815">
      <w:pPr>
        <w:jc w:val="both"/>
        <w:rPr>
          <w:rFonts w:ascii="Arial" w:hAnsi="Arial" w:cs="Arial"/>
        </w:rPr>
      </w:pPr>
      <w:r>
        <w:rPr>
          <w:rFonts w:ascii="Arial" w:hAnsi="Arial" w:cs="Arial"/>
        </w:rPr>
        <w:t xml:space="preserve">En </w:t>
      </w:r>
      <w:r w:rsidR="00922BCE">
        <w:rPr>
          <w:rFonts w:ascii="Arial" w:hAnsi="Arial" w:cs="Arial"/>
        </w:rPr>
        <w:t xml:space="preserve">alguns </w:t>
      </w:r>
      <w:r>
        <w:rPr>
          <w:rFonts w:ascii="Arial" w:hAnsi="Arial" w:cs="Arial"/>
        </w:rPr>
        <w:t xml:space="preserve">paràmetres es constata una pitjor </w:t>
      </w:r>
      <w:r w:rsidR="00922BCE">
        <w:rPr>
          <w:rFonts w:ascii="Arial" w:hAnsi="Arial" w:cs="Arial"/>
        </w:rPr>
        <w:t>situació</w:t>
      </w:r>
      <w:r>
        <w:rPr>
          <w:rFonts w:ascii="Arial" w:hAnsi="Arial" w:cs="Arial"/>
        </w:rPr>
        <w:t xml:space="preserve"> a Catalunya que a Espanya</w:t>
      </w:r>
      <w:r w:rsidR="00630224">
        <w:rPr>
          <w:rFonts w:ascii="Arial" w:hAnsi="Arial" w:cs="Arial"/>
        </w:rPr>
        <w:t>,</w:t>
      </w:r>
      <w:r w:rsidR="00922BCE">
        <w:rPr>
          <w:rFonts w:ascii="Arial" w:hAnsi="Arial" w:cs="Arial"/>
        </w:rPr>
        <w:t xml:space="preserve"> com</w:t>
      </w:r>
      <w:r w:rsidR="00630224">
        <w:rPr>
          <w:rFonts w:ascii="Arial" w:hAnsi="Arial" w:cs="Arial"/>
        </w:rPr>
        <w:t>,</w:t>
      </w:r>
      <w:r w:rsidR="00922BCE">
        <w:rPr>
          <w:rFonts w:ascii="Arial" w:hAnsi="Arial" w:cs="Arial"/>
        </w:rPr>
        <w:t xml:space="preserve"> per exemple</w:t>
      </w:r>
      <w:r w:rsidR="00630224">
        <w:rPr>
          <w:rFonts w:ascii="Arial" w:hAnsi="Arial" w:cs="Arial"/>
        </w:rPr>
        <w:t>,</w:t>
      </w:r>
      <w:r w:rsidR="00922BCE">
        <w:rPr>
          <w:rFonts w:ascii="Arial" w:hAnsi="Arial" w:cs="Arial"/>
        </w:rPr>
        <w:t xml:space="preserve"> en despesa social.</w:t>
      </w:r>
      <w:r>
        <w:rPr>
          <w:rFonts w:ascii="Arial" w:hAnsi="Arial" w:cs="Arial"/>
        </w:rPr>
        <w:t xml:space="preserve"> D’altra banda, abans de la crisi teníem a Catalunya indicadors </w:t>
      </w:r>
      <w:r w:rsidR="00922BCE">
        <w:rPr>
          <w:rFonts w:ascii="Arial" w:hAnsi="Arial" w:cs="Arial"/>
        </w:rPr>
        <w:t xml:space="preserve">de benestar </w:t>
      </w:r>
      <w:r>
        <w:rPr>
          <w:rFonts w:ascii="Arial" w:hAnsi="Arial" w:cs="Arial"/>
        </w:rPr>
        <w:t>per sobre de la</w:t>
      </w:r>
      <w:r w:rsidR="00626551">
        <w:rPr>
          <w:rFonts w:ascii="Arial" w:hAnsi="Arial" w:cs="Arial"/>
        </w:rPr>
        <w:t xml:space="preserve"> mitjana de la </w:t>
      </w:r>
      <w:r>
        <w:rPr>
          <w:rFonts w:ascii="Arial" w:hAnsi="Arial" w:cs="Arial"/>
        </w:rPr>
        <w:t>Unió Europea</w:t>
      </w:r>
      <w:r w:rsidR="00A0485E">
        <w:rPr>
          <w:rFonts w:ascii="Arial" w:hAnsi="Arial" w:cs="Arial"/>
        </w:rPr>
        <w:t>-28</w:t>
      </w:r>
      <w:r>
        <w:rPr>
          <w:rFonts w:ascii="Arial" w:hAnsi="Arial" w:cs="Arial"/>
        </w:rPr>
        <w:t xml:space="preserve"> que ara es situen per sota.</w:t>
      </w:r>
    </w:p>
    <w:p w:rsidR="00432815" w:rsidRDefault="00432815" w:rsidP="00432815">
      <w:pPr>
        <w:jc w:val="both"/>
        <w:rPr>
          <w:rFonts w:ascii="Arial" w:hAnsi="Arial" w:cs="Arial"/>
        </w:rPr>
      </w:pPr>
      <w:r>
        <w:rPr>
          <w:rFonts w:ascii="Arial" w:hAnsi="Arial" w:cs="Arial"/>
        </w:rPr>
        <w:t>Pel que fa a paràmetres concrets que empitjoren en relació a l’Informe anterior estan els següents:</w:t>
      </w:r>
    </w:p>
    <w:p w:rsidR="008B2E0F" w:rsidRDefault="008B2E0F" w:rsidP="00432815">
      <w:pPr>
        <w:jc w:val="both"/>
        <w:rPr>
          <w:rFonts w:ascii="Arial" w:hAnsi="Arial" w:cs="Arial"/>
        </w:rPr>
      </w:pPr>
      <w:r>
        <w:rPr>
          <w:rFonts w:ascii="Arial" w:hAnsi="Arial" w:cs="Arial"/>
        </w:rPr>
        <w:t>Augmenta la distància en relació a la pressió fiscal amb la Unió Europea, en especial pel que fa als impostos sobre la r</w:t>
      </w:r>
      <w:r w:rsidR="00626551">
        <w:rPr>
          <w:rFonts w:ascii="Arial" w:hAnsi="Arial" w:cs="Arial"/>
        </w:rPr>
        <w:t>enda, el patrimoni i el capital. Sense uns recursos públics equivalents no és possible aspirar als mateixos nivells de benestar.</w:t>
      </w:r>
      <w:r w:rsidR="00E834EF">
        <w:rPr>
          <w:rFonts w:ascii="Arial" w:hAnsi="Arial" w:cs="Arial"/>
        </w:rPr>
        <w:t xml:space="preserve"> A Catalunya, tenim certament un problema de finançament però també de fiscalitat. </w:t>
      </w:r>
    </w:p>
    <w:p w:rsidR="00DB3237" w:rsidRDefault="00C44ECB" w:rsidP="00432815">
      <w:pPr>
        <w:jc w:val="both"/>
        <w:rPr>
          <w:rFonts w:ascii="Arial" w:hAnsi="Arial" w:cs="Arial"/>
        </w:rPr>
      </w:pPr>
      <w:r>
        <w:rPr>
          <w:rFonts w:ascii="Arial" w:hAnsi="Arial" w:cs="Arial"/>
        </w:rPr>
        <w:t xml:space="preserve">Els indicadors macroeconòmics del nivell de benestar per càpita com la capacitat adquisitiva del PIB, el saldo de rendes primàries i la renda familiar bruta disponible, cauen des de l’inici de la crisi a Catalunya i Espanya amb més intensitat que en la mitjana de la UE-28. </w:t>
      </w:r>
      <w:r w:rsidR="00DB3237">
        <w:rPr>
          <w:rFonts w:ascii="Arial" w:hAnsi="Arial" w:cs="Arial"/>
        </w:rPr>
        <w:t>En el cas de Catalunya</w:t>
      </w:r>
      <w:r w:rsidR="00801B4F">
        <w:rPr>
          <w:rFonts w:ascii="Arial" w:hAnsi="Arial" w:cs="Arial"/>
        </w:rPr>
        <w:t>,</w:t>
      </w:r>
      <w:r w:rsidR="00DB3237">
        <w:rPr>
          <w:rFonts w:ascii="Arial" w:hAnsi="Arial" w:cs="Arial"/>
        </w:rPr>
        <w:t xml:space="preserve"> la caiguda acumulada </w:t>
      </w:r>
      <w:r w:rsidR="00801B4F">
        <w:rPr>
          <w:rFonts w:ascii="Arial" w:hAnsi="Arial" w:cs="Arial"/>
        </w:rPr>
        <w:t xml:space="preserve">del PIB per càpita </w:t>
      </w:r>
      <w:r w:rsidR="00DB3237">
        <w:rPr>
          <w:rFonts w:ascii="Arial" w:hAnsi="Arial" w:cs="Arial"/>
        </w:rPr>
        <w:t>entre el 2007 i el 201</w:t>
      </w:r>
      <w:r w:rsidR="00626551">
        <w:rPr>
          <w:rFonts w:ascii="Arial" w:hAnsi="Arial" w:cs="Arial"/>
        </w:rPr>
        <w:t xml:space="preserve">4 és del -18,2%, mentre a Espanya ha estat del </w:t>
      </w:r>
      <w:r>
        <w:rPr>
          <w:rFonts w:ascii="Arial" w:hAnsi="Arial" w:cs="Arial"/>
        </w:rPr>
        <w:t>-</w:t>
      </w:r>
      <w:r w:rsidR="00626551">
        <w:rPr>
          <w:rFonts w:ascii="Arial" w:hAnsi="Arial" w:cs="Arial"/>
        </w:rPr>
        <w:t>16,3% i a la UE</w:t>
      </w:r>
      <w:r w:rsidR="00894007">
        <w:rPr>
          <w:rFonts w:ascii="Arial" w:hAnsi="Arial" w:cs="Arial"/>
        </w:rPr>
        <w:noBreakHyphen/>
      </w:r>
      <w:r w:rsidR="00801B4F">
        <w:rPr>
          <w:rFonts w:ascii="Arial" w:hAnsi="Arial" w:cs="Arial"/>
        </w:rPr>
        <w:t>28</w:t>
      </w:r>
      <w:r w:rsidR="00626551">
        <w:rPr>
          <w:rFonts w:ascii="Arial" w:hAnsi="Arial" w:cs="Arial"/>
        </w:rPr>
        <w:t xml:space="preserve"> del -8%.</w:t>
      </w:r>
      <w:r>
        <w:rPr>
          <w:rFonts w:ascii="Arial" w:hAnsi="Arial" w:cs="Arial"/>
        </w:rPr>
        <w:t xml:space="preserve">  </w:t>
      </w:r>
    </w:p>
    <w:p w:rsidR="00DB3237" w:rsidRDefault="00DB3237" w:rsidP="00432815">
      <w:pPr>
        <w:jc w:val="both"/>
        <w:rPr>
          <w:rFonts w:ascii="Arial" w:hAnsi="Arial" w:cs="Arial"/>
        </w:rPr>
      </w:pPr>
      <w:r>
        <w:rPr>
          <w:rFonts w:ascii="Arial" w:hAnsi="Arial" w:cs="Arial"/>
        </w:rPr>
        <w:t xml:space="preserve">Continua la forta caiguda </w:t>
      </w:r>
      <w:r w:rsidR="00EB7493">
        <w:rPr>
          <w:rFonts w:ascii="Arial" w:hAnsi="Arial" w:cs="Arial"/>
        </w:rPr>
        <w:t>del pes de les rendes salarials sobre el PIB, situació que contrasta amb la de la UE on s’ha incrementat.</w:t>
      </w:r>
      <w:r w:rsidR="00367AFF">
        <w:rPr>
          <w:rFonts w:ascii="Arial" w:hAnsi="Arial" w:cs="Arial"/>
        </w:rPr>
        <w:t xml:space="preserve"> Augmenta la bretxa salarial entre homes i dones.</w:t>
      </w:r>
    </w:p>
    <w:p w:rsidR="00EB7493" w:rsidRDefault="00EB7493" w:rsidP="00432815">
      <w:pPr>
        <w:jc w:val="both"/>
        <w:rPr>
          <w:rFonts w:ascii="Arial" w:hAnsi="Arial" w:cs="Arial"/>
        </w:rPr>
      </w:pPr>
      <w:r>
        <w:rPr>
          <w:rFonts w:ascii="Arial" w:hAnsi="Arial" w:cs="Arial"/>
        </w:rPr>
        <w:t xml:space="preserve">Els directius </w:t>
      </w:r>
      <w:r w:rsidR="00503209">
        <w:rPr>
          <w:rFonts w:ascii="Arial" w:hAnsi="Arial" w:cs="Arial"/>
        </w:rPr>
        <w:t>recuperen</w:t>
      </w:r>
      <w:r>
        <w:rPr>
          <w:rFonts w:ascii="Arial" w:hAnsi="Arial" w:cs="Arial"/>
        </w:rPr>
        <w:t xml:space="preserve"> poder adquisitiu en relació a abans de la crisis mentre els empleats </w:t>
      </w:r>
      <w:r w:rsidR="00503209">
        <w:rPr>
          <w:rFonts w:ascii="Arial" w:hAnsi="Arial" w:cs="Arial"/>
        </w:rPr>
        <w:t>el</w:t>
      </w:r>
      <w:r>
        <w:rPr>
          <w:rFonts w:ascii="Arial" w:hAnsi="Arial" w:cs="Arial"/>
        </w:rPr>
        <w:t xml:space="preserve"> continuen perdent.</w:t>
      </w:r>
    </w:p>
    <w:p w:rsidR="00EB7493" w:rsidRDefault="00EB7493" w:rsidP="00432815">
      <w:pPr>
        <w:jc w:val="both"/>
        <w:rPr>
          <w:rFonts w:ascii="Arial" w:hAnsi="Arial" w:cs="Arial"/>
        </w:rPr>
      </w:pPr>
      <w:r>
        <w:rPr>
          <w:rFonts w:ascii="Arial" w:hAnsi="Arial" w:cs="Arial"/>
        </w:rPr>
        <w:t>Es produeix un fort increment de l’ocupació a temps parcial dels joves</w:t>
      </w:r>
      <w:r w:rsidR="00A932A0">
        <w:rPr>
          <w:rFonts w:ascii="Arial" w:hAnsi="Arial" w:cs="Arial"/>
        </w:rPr>
        <w:t xml:space="preserve"> de 16 a 24 anys</w:t>
      </w:r>
      <w:r>
        <w:rPr>
          <w:rFonts w:ascii="Arial" w:hAnsi="Arial" w:cs="Arial"/>
        </w:rPr>
        <w:t xml:space="preserve"> (14 punts) en un context de precarització del mercat de treball.</w:t>
      </w:r>
      <w:r w:rsidR="00367AFF">
        <w:rPr>
          <w:rFonts w:ascii="Arial" w:hAnsi="Arial" w:cs="Arial"/>
        </w:rPr>
        <w:t xml:space="preserve"> Això fa que el 58,2% dels joves tinguin una ocupació a temps parcial.</w:t>
      </w:r>
    </w:p>
    <w:p w:rsidR="00E834EF" w:rsidRDefault="00E834EF" w:rsidP="00432815">
      <w:pPr>
        <w:jc w:val="both"/>
        <w:rPr>
          <w:rFonts w:ascii="Arial" w:hAnsi="Arial" w:cs="Arial"/>
        </w:rPr>
      </w:pPr>
    </w:p>
    <w:p w:rsidR="00E834EF" w:rsidRDefault="00E834EF" w:rsidP="00432815">
      <w:pPr>
        <w:jc w:val="both"/>
        <w:rPr>
          <w:rFonts w:ascii="Arial" w:hAnsi="Arial" w:cs="Arial"/>
        </w:rPr>
      </w:pPr>
    </w:p>
    <w:p w:rsidR="00EB7493" w:rsidRDefault="00EB7493" w:rsidP="00432815">
      <w:pPr>
        <w:jc w:val="both"/>
        <w:rPr>
          <w:rFonts w:ascii="Arial" w:hAnsi="Arial" w:cs="Arial"/>
        </w:rPr>
      </w:pPr>
      <w:r>
        <w:rPr>
          <w:rFonts w:ascii="Arial" w:hAnsi="Arial" w:cs="Arial"/>
        </w:rPr>
        <w:lastRenderedPageBreak/>
        <w:t>Augmenta l’atur de llarga durada</w:t>
      </w:r>
      <w:r w:rsidR="003A6ACB">
        <w:rPr>
          <w:rFonts w:ascii="Arial" w:hAnsi="Arial" w:cs="Arial"/>
        </w:rPr>
        <w:t xml:space="preserve"> tres punts respecte a l’any anterior</w:t>
      </w:r>
      <w:r>
        <w:rPr>
          <w:rFonts w:ascii="Arial" w:hAnsi="Arial" w:cs="Arial"/>
        </w:rPr>
        <w:t xml:space="preserve"> i es situa per sobre del 60%.</w:t>
      </w:r>
      <w:r w:rsidR="00E834EF">
        <w:rPr>
          <w:rFonts w:ascii="Arial" w:hAnsi="Arial" w:cs="Arial"/>
        </w:rPr>
        <w:t xml:space="preserve"> És a dir, hi ha més d’un 60% dels treballadors i treballadores en situació d’atur que fa més d’un any que busquen feina sense trobar-la. </w:t>
      </w:r>
    </w:p>
    <w:p w:rsidR="00EB7493" w:rsidRDefault="00E834EF" w:rsidP="00432815">
      <w:pPr>
        <w:jc w:val="both"/>
        <w:rPr>
          <w:rFonts w:ascii="Arial" w:hAnsi="Arial" w:cs="Arial"/>
        </w:rPr>
      </w:pPr>
      <w:r>
        <w:rPr>
          <w:rFonts w:ascii="Arial" w:hAnsi="Arial" w:cs="Arial"/>
        </w:rPr>
        <w:t>I en aquest context d</w:t>
      </w:r>
      <w:r w:rsidR="00EB7493">
        <w:rPr>
          <w:rFonts w:ascii="Arial" w:hAnsi="Arial" w:cs="Arial"/>
        </w:rPr>
        <w:t>isminueix de forma molt important la tax</w:t>
      </w:r>
      <w:r w:rsidR="003A6ACB">
        <w:rPr>
          <w:rFonts w:ascii="Arial" w:hAnsi="Arial" w:cs="Arial"/>
        </w:rPr>
        <w:t>a de protecció a la desocupació. En el 2014 només un 30,9% de les persones en situació d’atur rep alguna prestació o ajuda pública.</w:t>
      </w:r>
    </w:p>
    <w:p w:rsidR="00EB7493" w:rsidRDefault="00503209" w:rsidP="00432815">
      <w:pPr>
        <w:jc w:val="both"/>
        <w:rPr>
          <w:rFonts w:ascii="Arial" w:hAnsi="Arial" w:cs="Arial"/>
        </w:rPr>
      </w:pPr>
      <w:r>
        <w:rPr>
          <w:rFonts w:ascii="Arial" w:hAnsi="Arial" w:cs="Arial"/>
        </w:rPr>
        <w:t>S’incrementa</w:t>
      </w:r>
      <w:r w:rsidR="00EB7493">
        <w:rPr>
          <w:rFonts w:ascii="Arial" w:hAnsi="Arial" w:cs="Arial"/>
        </w:rPr>
        <w:t xml:space="preserve"> la taxa de risc de pobresa en el treball a Catalunya</w:t>
      </w:r>
      <w:r w:rsidR="008B6332">
        <w:rPr>
          <w:rFonts w:ascii="Arial" w:hAnsi="Arial" w:cs="Arial"/>
        </w:rPr>
        <w:t xml:space="preserve"> que arriba</w:t>
      </w:r>
      <w:r>
        <w:rPr>
          <w:rFonts w:ascii="Arial" w:hAnsi="Arial" w:cs="Arial"/>
        </w:rPr>
        <w:t xml:space="preserve"> a</w:t>
      </w:r>
      <w:r w:rsidR="003A6ACB">
        <w:rPr>
          <w:rFonts w:ascii="Arial" w:hAnsi="Arial" w:cs="Arial"/>
        </w:rPr>
        <w:t>l</w:t>
      </w:r>
      <w:r>
        <w:rPr>
          <w:rFonts w:ascii="Arial" w:hAnsi="Arial" w:cs="Arial"/>
        </w:rPr>
        <w:t xml:space="preserve"> 1</w:t>
      </w:r>
      <w:r w:rsidR="003A6ACB">
        <w:rPr>
          <w:rFonts w:ascii="Arial" w:hAnsi="Arial" w:cs="Arial"/>
        </w:rPr>
        <w:t>1,7%</w:t>
      </w:r>
      <w:r w:rsidR="008B6332">
        <w:rPr>
          <w:rFonts w:ascii="Arial" w:hAnsi="Arial" w:cs="Arial"/>
        </w:rPr>
        <w:t>,</w:t>
      </w:r>
      <w:r w:rsidR="003A6ACB">
        <w:rPr>
          <w:rFonts w:ascii="Arial" w:hAnsi="Arial" w:cs="Arial"/>
        </w:rPr>
        <w:t xml:space="preserve"> una xifra més de dos punts superior a la de l’</w:t>
      </w:r>
      <w:r w:rsidR="00EB7493">
        <w:rPr>
          <w:rFonts w:ascii="Arial" w:hAnsi="Arial" w:cs="Arial"/>
        </w:rPr>
        <w:t>Unió Europea (</w:t>
      </w:r>
      <w:r w:rsidR="003A6ACB">
        <w:rPr>
          <w:rFonts w:ascii="Arial" w:hAnsi="Arial" w:cs="Arial"/>
        </w:rPr>
        <w:t>9,6%)</w:t>
      </w:r>
      <w:r w:rsidR="00EB7493">
        <w:rPr>
          <w:rFonts w:ascii="Arial" w:hAnsi="Arial" w:cs="Arial"/>
        </w:rPr>
        <w:t>.</w:t>
      </w:r>
      <w:r>
        <w:rPr>
          <w:rFonts w:ascii="Arial" w:hAnsi="Arial" w:cs="Arial"/>
        </w:rPr>
        <w:t xml:space="preserve"> És a dir</w:t>
      </w:r>
      <w:r w:rsidR="00513B5A">
        <w:rPr>
          <w:rFonts w:ascii="Arial" w:hAnsi="Arial" w:cs="Arial"/>
        </w:rPr>
        <w:t>,</w:t>
      </w:r>
      <w:r>
        <w:rPr>
          <w:rFonts w:ascii="Arial" w:hAnsi="Arial" w:cs="Arial"/>
        </w:rPr>
        <w:t xml:space="preserve"> que un 1</w:t>
      </w:r>
      <w:r w:rsidR="003A6ACB">
        <w:rPr>
          <w:rFonts w:ascii="Arial" w:hAnsi="Arial" w:cs="Arial"/>
        </w:rPr>
        <w:t>1,7</w:t>
      </w:r>
      <w:r>
        <w:rPr>
          <w:rFonts w:ascii="Arial" w:hAnsi="Arial" w:cs="Arial"/>
        </w:rPr>
        <w:t xml:space="preserve">% de les persones que treballen a Catalunya </w:t>
      </w:r>
      <w:r w:rsidR="003A6ACB">
        <w:rPr>
          <w:rFonts w:ascii="Arial" w:hAnsi="Arial" w:cs="Arial"/>
        </w:rPr>
        <w:t>obtenen uns ingressos per la seva feina per sota del llindar del risc a la pobresa.</w:t>
      </w:r>
    </w:p>
    <w:p w:rsidR="00AD36E6" w:rsidRDefault="00AD36E6" w:rsidP="00432815">
      <w:pPr>
        <w:jc w:val="both"/>
        <w:rPr>
          <w:rFonts w:ascii="Arial" w:hAnsi="Arial" w:cs="Arial"/>
        </w:rPr>
      </w:pPr>
      <w:r>
        <w:rPr>
          <w:rFonts w:ascii="Arial" w:hAnsi="Arial" w:cs="Arial"/>
        </w:rPr>
        <w:t>En els quatre anys previs a la crisi</w:t>
      </w:r>
      <w:r w:rsidR="005634C6">
        <w:rPr>
          <w:rFonts w:ascii="Arial" w:hAnsi="Arial" w:cs="Arial"/>
        </w:rPr>
        <w:t xml:space="preserve"> a Catalunya</w:t>
      </w:r>
      <w:r>
        <w:rPr>
          <w:rFonts w:ascii="Arial" w:hAnsi="Arial" w:cs="Arial"/>
        </w:rPr>
        <w:t xml:space="preserve">, l’índex de Gini, l’indicador més utilitzat per a mesurar les desigualtats, era millor que la mitjana europea, ara </w:t>
      </w:r>
      <w:r w:rsidR="005634C6">
        <w:rPr>
          <w:rFonts w:ascii="Arial" w:hAnsi="Arial" w:cs="Arial"/>
        </w:rPr>
        <w:t xml:space="preserve">ja </w:t>
      </w:r>
      <w:r>
        <w:rPr>
          <w:rFonts w:ascii="Arial" w:hAnsi="Arial" w:cs="Arial"/>
        </w:rPr>
        <w:t>no ho és i ha empitjorat l’últim any.</w:t>
      </w:r>
    </w:p>
    <w:p w:rsidR="00EB7493" w:rsidRDefault="00EB7493" w:rsidP="00432815">
      <w:pPr>
        <w:jc w:val="both"/>
        <w:rPr>
          <w:rFonts w:ascii="Arial" w:hAnsi="Arial" w:cs="Arial"/>
        </w:rPr>
      </w:pPr>
      <w:r>
        <w:rPr>
          <w:rFonts w:ascii="Arial" w:hAnsi="Arial" w:cs="Arial"/>
        </w:rPr>
        <w:t>S’</w:t>
      </w:r>
      <w:r w:rsidR="00503209">
        <w:rPr>
          <w:rFonts w:ascii="Arial" w:hAnsi="Arial" w:cs="Arial"/>
        </w:rPr>
        <w:t>accentuen les desigualtats</w:t>
      </w:r>
      <w:r>
        <w:rPr>
          <w:rFonts w:ascii="Arial" w:hAnsi="Arial" w:cs="Arial"/>
        </w:rPr>
        <w:t>: el 20% de la població més rica acumula 6,5 vegades més recursos que el 20% més pobre.</w:t>
      </w:r>
      <w:r w:rsidR="00A0485E">
        <w:rPr>
          <w:rFonts w:ascii="Arial" w:hAnsi="Arial" w:cs="Arial"/>
        </w:rPr>
        <w:t xml:space="preserve"> A tenir en compte que aquest indicador es  calcula sobre els ingressos de les famílies un cop s’ha dut a terme la funció redistribuidora del sector públic.</w:t>
      </w:r>
    </w:p>
    <w:p w:rsidR="00EB7493" w:rsidRDefault="00EB7493" w:rsidP="00432815">
      <w:pPr>
        <w:jc w:val="both"/>
        <w:rPr>
          <w:rFonts w:ascii="Arial" w:hAnsi="Arial" w:cs="Arial"/>
        </w:rPr>
      </w:pPr>
      <w:r>
        <w:rPr>
          <w:rFonts w:ascii="Arial" w:hAnsi="Arial" w:cs="Arial"/>
        </w:rPr>
        <w:t>L’evolució de la taxa de risc de pobresa o exclusió social</w:t>
      </w:r>
      <w:r w:rsidR="00503209">
        <w:rPr>
          <w:rFonts w:ascii="Arial" w:hAnsi="Arial" w:cs="Arial"/>
        </w:rPr>
        <w:t xml:space="preserve"> (</w:t>
      </w:r>
      <w:r w:rsidR="002C4DBF">
        <w:rPr>
          <w:rFonts w:ascii="Arial" w:hAnsi="Arial" w:cs="Arial"/>
        </w:rPr>
        <w:t>índex</w:t>
      </w:r>
      <w:r w:rsidR="00503209">
        <w:rPr>
          <w:rFonts w:ascii="Arial" w:hAnsi="Arial" w:cs="Arial"/>
        </w:rPr>
        <w:t xml:space="preserve"> AROPE) </w:t>
      </w:r>
      <w:r>
        <w:rPr>
          <w:rFonts w:ascii="Arial" w:hAnsi="Arial" w:cs="Arial"/>
        </w:rPr>
        <w:t xml:space="preserve"> experimenta un fort increment en l’últim any passant del 24,3% al 26,</w:t>
      </w:r>
      <w:r w:rsidR="00503209">
        <w:rPr>
          <w:rFonts w:ascii="Arial" w:hAnsi="Arial" w:cs="Arial"/>
        </w:rPr>
        <w:t>0</w:t>
      </w:r>
      <w:r>
        <w:rPr>
          <w:rFonts w:ascii="Arial" w:hAnsi="Arial" w:cs="Arial"/>
        </w:rPr>
        <w:t>%.</w:t>
      </w:r>
      <w:r w:rsidR="00E55D0B">
        <w:rPr>
          <w:rFonts w:ascii="Arial" w:hAnsi="Arial" w:cs="Arial"/>
        </w:rPr>
        <w:t xml:space="preserve"> Destaca de forma especialment negativa l’elevada taxa de risc de pobresa dels joves</w:t>
      </w:r>
      <w:r w:rsidR="00027DF3">
        <w:rPr>
          <w:rFonts w:ascii="Arial" w:hAnsi="Arial" w:cs="Arial"/>
        </w:rPr>
        <w:t xml:space="preserve"> de menys de 18 anys.</w:t>
      </w:r>
      <w:r w:rsidR="00854FA5">
        <w:rPr>
          <w:rFonts w:ascii="Arial" w:hAnsi="Arial" w:cs="Arial"/>
        </w:rPr>
        <w:t xml:space="preserve">  L’últim any s’ha produït també un increment de la taxa de pobresa de les dones que supera</w:t>
      </w:r>
      <w:r w:rsidR="005634C6">
        <w:rPr>
          <w:rFonts w:ascii="Arial" w:hAnsi="Arial" w:cs="Arial"/>
        </w:rPr>
        <w:t xml:space="preserve"> a</w:t>
      </w:r>
      <w:r w:rsidR="00854FA5">
        <w:rPr>
          <w:rFonts w:ascii="Arial" w:hAnsi="Arial" w:cs="Arial"/>
        </w:rPr>
        <w:t xml:space="preserve"> la dels homes. </w:t>
      </w:r>
    </w:p>
    <w:p w:rsidR="00EB7493" w:rsidRDefault="00EB7493" w:rsidP="00432815">
      <w:pPr>
        <w:jc w:val="both"/>
        <w:rPr>
          <w:rFonts w:ascii="Arial" w:hAnsi="Arial" w:cs="Arial"/>
        </w:rPr>
      </w:pPr>
      <w:r>
        <w:rPr>
          <w:rFonts w:ascii="Arial" w:hAnsi="Arial" w:cs="Arial"/>
        </w:rPr>
        <w:t xml:space="preserve">Es produeix un fort increment, de més de 10 punts, en la bretxa </w:t>
      </w:r>
      <w:r w:rsidR="002C4DBF">
        <w:rPr>
          <w:rFonts w:ascii="Arial" w:hAnsi="Arial" w:cs="Arial"/>
        </w:rPr>
        <w:t>de risc de pobresa</w:t>
      </w:r>
      <w:r w:rsidR="009564CB">
        <w:rPr>
          <w:rFonts w:ascii="Arial" w:hAnsi="Arial" w:cs="Arial"/>
        </w:rPr>
        <w:t>.</w:t>
      </w:r>
      <w:r w:rsidR="008B6332">
        <w:rPr>
          <w:rFonts w:ascii="Arial" w:hAnsi="Arial" w:cs="Arial"/>
        </w:rPr>
        <w:t xml:space="preserve"> A</w:t>
      </w:r>
      <w:r w:rsidR="009564CB">
        <w:rPr>
          <w:rFonts w:ascii="Arial" w:hAnsi="Arial" w:cs="Arial"/>
        </w:rPr>
        <w:t xml:space="preserve"> </w:t>
      </w:r>
      <w:r w:rsidR="008B6332">
        <w:rPr>
          <w:rFonts w:ascii="Arial" w:hAnsi="Arial" w:cs="Arial"/>
        </w:rPr>
        <w:t>Catalunya e</w:t>
      </w:r>
      <w:r w:rsidR="009564CB">
        <w:rPr>
          <w:rFonts w:ascii="Arial" w:hAnsi="Arial" w:cs="Arial"/>
        </w:rPr>
        <w:t>ls pobres són molt més pobres al 2014 del que ho eren al 2007</w:t>
      </w:r>
      <w:r w:rsidR="002C4DBF">
        <w:rPr>
          <w:rFonts w:ascii="Arial" w:hAnsi="Arial" w:cs="Arial"/>
        </w:rPr>
        <w:t>, mentre els rics són encara més rics</w:t>
      </w:r>
      <w:r w:rsidR="009564CB">
        <w:rPr>
          <w:rFonts w:ascii="Arial" w:hAnsi="Arial" w:cs="Arial"/>
        </w:rPr>
        <w:t>.</w:t>
      </w:r>
    </w:p>
    <w:p w:rsidR="009564CB" w:rsidRDefault="0068012F" w:rsidP="00432815">
      <w:pPr>
        <w:jc w:val="both"/>
        <w:rPr>
          <w:rFonts w:ascii="Arial" w:hAnsi="Arial" w:cs="Arial"/>
        </w:rPr>
      </w:pPr>
      <w:r>
        <w:rPr>
          <w:rFonts w:ascii="Arial" w:hAnsi="Arial" w:cs="Arial"/>
        </w:rPr>
        <w:t xml:space="preserve">En Educació hi ha una disminució dels recursos que aporta el Govern de la Generalitat. </w:t>
      </w:r>
      <w:r w:rsidR="00B60AC5">
        <w:rPr>
          <w:rFonts w:ascii="Arial" w:hAnsi="Arial" w:cs="Arial"/>
        </w:rPr>
        <w:t>Aquesta disminució es suma a fortes caigudes anteriors mentre augmenta en canvi el nombre d’alumnes.</w:t>
      </w:r>
      <w:r w:rsidR="00B153D8">
        <w:rPr>
          <w:rFonts w:ascii="Arial" w:hAnsi="Arial" w:cs="Arial"/>
        </w:rPr>
        <w:t xml:space="preserve"> Això té efectes negatius pel que fa a la igualtat d’oportunitats.</w:t>
      </w:r>
    </w:p>
    <w:p w:rsidR="000E24D0" w:rsidRDefault="000E24D0" w:rsidP="00432815">
      <w:pPr>
        <w:jc w:val="both"/>
        <w:rPr>
          <w:rFonts w:ascii="Arial" w:hAnsi="Arial" w:cs="Arial"/>
        </w:rPr>
      </w:pPr>
      <w:r>
        <w:rPr>
          <w:rFonts w:ascii="Arial" w:hAnsi="Arial" w:cs="Arial"/>
        </w:rPr>
        <w:t xml:space="preserve">La </w:t>
      </w:r>
      <w:r w:rsidR="00043E1D">
        <w:rPr>
          <w:rFonts w:ascii="Arial" w:hAnsi="Arial" w:cs="Arial"/>
        </w:rPr>
        <w:t>conclusió</w:t>
      </w:r>
      <w:r>
        <w:rPr>
          <w:rFonts w:ascii="Arial" w:hAnsi="Arial" w:cs="Arial"/>
        </w:rPr>
        <w:t xml:space="preserve"> que es desprèn de les dades de l’Informe és d’emergència social.</w:t>
      </w:r>
      <w:r w:rsidR="00043E1D">
        <w:rPr>
          <w:rFonts w:ascii="Arial" w:hAnsi="Arial" w:cs="Arial"/>
        </w:rPr>
        <w:t xml:space="preserve"> Una situació que es deriva del mercat de treball (atur i precarietat laboral), les retallades en les polítiques públiques i una fiscalitat i</w:t>
      </w:r>
      <w:r w:rsidR="002E1D19">
        <w:rPr>
          <w:rFonts w:ascii="Arial" w:hAnsi="Arial" w:cs="Arial"/>
        </w:rPr>
        <w:t>n</w:t>
      </w:r>
      <w:r w:rsidR="00043E1D">
        <w:rPr>
          <w:rFonts w:ascii="Arial" w:hAnsi="Arial" w:cs="Arial"/>
        </w:rPr>
        <w:t>justa i insuficient.</w:t>
      </w:r>
    </w:p>
    <w:p w:rsidR="00B763C2" w:rsidRDefault="00B763C2" w:rsidP="0005475C">
      <w:pPr>
        <w:jc w:val="both"/>
        <w:rPr>
          <w:rFonts w:ascii="Arial" w:hAnsi="Arial" w:cs="Arial"/>
        </w:rPr>
      </w:pPr>
    </w:p>
    <w:p w:rsidR="00432815" w:rsidRDefault="00432815" w:rsidP="0005475C">
      <w:pPr>
        <w:jc w:val="both"/>
        <w:rPr>
          <w:rFonts w:ascii="Arial" w:hAnsi="Arial" w:cs="Arial"/>
        </w:rPr>
      </w:pPr>
    </w:p>
    <w:p w:rsidR="00B763C2" w:rsidRDefault="00A3602E" w:rsidP="0005475C">
      <w:pPr>
        <w:jc w:val="both"/>
        <w:rPr>
          <w:rFonts w:ascii="Arial" w:hAnsi="Arial" w:cs="Arial"/>
          <w:b/>
        </w:rPr>
      </w:pPr>
      <w:r>
        <w:rPr>
          <w:rFonts w:ascii="Arial" w:hAnsi="Arial" w:cs="Arial"/>
          <w:b/>
        </w:rPr>
        <w:t>Centre d’Estudis i Recerca Sindical (</w:t>
      </w:r>
      <w:r w:rsidR="00B763C2" w:rsidRPr="00B763C2">
        <w:rPr>
          <w:rFonts w:ascii="Arial" w:hAnsi="Arial" w:cs="Arial"/>
          <w:b/>
        </w:rPr>
        <w:t>CERES</w:t>
      </w:r>
      <w:r>
        <w:rPr>
          <w:rFonts w:ascii="Arial" w:hAnsi="Arial" w:cs="Arial"/>
          <w:b/>
        </w:rPr>
        <w:t>)</w:t>
      </w:r>
      <w:r w:rsidR="0094106F">
        <w:rPr>
          <w:rFonts w:ascii="Arial" w:hAnsi="Arial" w:cs="Arial"/>
          <w:b/>
        </w:rPr>
        <w:t xml:space="preserve"> de </w:t>
      </w:r>
      <w:r w:rsidR="00E53959">
        <w:rPr>
          <w:rFonts w:ascii="Arial" w:hAnsi="Arial" w:cs="Arial"/>
          <w:b/>
        </w:rPr>
        <w:t>CCOO</w:t>
      </w:r>
      <w:r w:rsidR="0094106F">
        <w:rPr>
          <w:rFonts w:ascii="Arial" w:hAnsi="Arial" w:cs="Arial"/>
          <w:b/>
        </w:rPr>
        <w:t xml:space="preserve"> de Catalunya</w:t>
      </w:r>
    </w:p>
    <w:p w:rsidR="0094106F" w:rsidRDefault="00A54A9C" w:rsidP="0005475C">
      <w:pPr>
        <w:jc w:val="both"/>
        <w:rPr>
          <w:rFonts w:ascii="Arial" w:hAnsi="Arial" w:cs="Arial"/>
          <w:b/>
        </w:rPr>
      </w:pPr>
      <w:hyperlink r:id="rId80" w:history="1">
        <w:r w:rsidR="0094106F" w:rsidRPr="009B447B">
          <w:rPr>
            <w:rStyle w:val="Hipervnculo"/>
            <w:rFonts w:ascii="Arial" w:hAnsi="Arial" w:cs="Arial"/>
            <w:b/>
          </w:rPr>
          <w:t>www.ccoo.cat/ceres</w:t>
        </w:r>
      </w:hyperlink>
    </w:p>
    <w:p w:rsidR="0094106F" w:rsidRDefault="0094106F" w:rsidP="0005475C">
      <w:pPr>
        <w:jc w:val="both"/>
        <w:rPr>
          <w:rFonts w:ascii="Arial" w:hAnsi="Arial" w:cs="Arial"/>
          <w:b/>
        </w:rPr>
      </w:pPr>
    </w:p>
    <w:p w:rsidR="00E8339B" w:rsidRPr="00744C93" w:rsidRDefault="00B763C2" w:rsidP="001B4460">
      <w:pPr>
        <w:jc w:val="both"/>
        <w:rPr>
          <w:rFonts w:ascii="Arial" w:hAnsi="Arial" w:cs="Arial"/>
          <w:b/>
        </w:rPr>
      </w:pPr>
      <w:r>
        <w:rPr>
          <w:rFonts w:ascii="Arial" w:hAnsi="Arial" w:cs="Arial"/>
          <w:b/>
        </w:rPr>
        <w:t>Barcelona,</w:t>
      </w:r>
      <w:r w:rsidR="003035C7">
        <w:rPr>
          <w:rFonts w:ascii="Arial" w:hAnsi="Arial" w:cs="Arial"/>
          <w:b/>
        </w:rPr>
        <w:t xml:space="preserve"> </w:t>
      </w:r>
      <w:r w:rsidR="00E834EF">
        <w:rPr>
          <w:rFonts w:ascii="Arial" w:hAnsi="Arial" w:cs="Arial"/>
          <w:b/>
        </w:rPr>
        <w:t>de</w:t>
      </w:r>
      <w:r w:rsidR="00534608">
        <w:rPr>
          <w:rFonts w:ascii="Arial" w:hAnsi="Arial" w:cs="Arial"/>
          <w:b/>
        </w:rPr>
        <w:t>s</w:t>
      </w:r>
      <w:r w:rsidR="00E834EF">
        <w:rPr>
          <w:rFonts w:ascii="Arial" w:hAnsi="Arial" w:cs="Arial"/>
          <w:b/>
        </w:rPr>
        <w:t>embre</w:t>
      </w:r>
      <w:r w:rsidR="003035C7">
        <w:rPr>
          <w:rFonts w:ascii="Arial" w:hAnsi="Arial" w:cs="Arial"/>
          <w:b/>
        </w:rPr>
        <w:t xml:space="preserve"> 2015</w:t>
      </w:r>
    </w:p>
    <w:p w:rsidR="002B6D45" w:rsidRDefault="002B6D45" w:rsidP="007066D0">
      <w:pPr>
        <w:pStyle w:val="Prrafodelista1"/>
        <w:ind w:left="0"/>
        <w:rPr>
          <w:rFonts w:ascii="Arial" w:hAnsi="Arial" w:cs="Arial"/>
        </w:rPr>
      </w:pPr>
    </w:p>
    <w:sectPr w:rsidR="002B6D45" w:rsidSect="006E46F0">
      <w:headerReference w:type="even" r:id="rId81"/>
      <w:headerReference w:type="default" r:id="rId82"/>
      <w:footerReference w:type="even" r:id="rId83"/>
      <w:footerReference w:type="default" r:id="rId84"/>
      <w:headerReference w:type="first" r:id="rId85"/>
      <w:footerReference w:type="first" r:id="rId8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B6E" w:rsidRDefault="00882B6E" w:rsidP="005E1903">
      <w:pPr>
        <w:spacing w:after="0" w:line="240" w:lineRule="auto"/>
      </w:pPr>
      <w:r>
        <w:separator/>
      </w:r>
    </w:p>
  </w:endnote>
  <w:endnote w:type="continuationSeparator" w:id="0">
    <w:p w:rsidR="00882B6E" w:rsidRDefault="00882B6E" w:rsidP="005E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CB" w:rsidRDefault="00A54A9C" w:rsidP="00866337">
    <w:pPr>
      <w:pStyle w:val="Piedepgina"/>
      <w:jc w:val="center"/>
    </w:pPr>
    <w:r>
      <w:fldChar w:fldCharType="begin"/>
    </w:r>
    <w:r>
      <w:instrText xml:space="preserve"> PAGE   \* MERGEFORMAT </w:instrText>
    </w:r>
    <w:r>
      <w:fldChar w:fldCharType="separate"/>
    </w:r>
    <w:r>
      <w:rPr>
        <w:noProof/>
      </w:rPr>
      <w:t>68</w:t>
    </w:r>
    <w:r>
      <w:rPr>
        <w:noProof/>
      </w:rPr>
      <w:fldChar w:fldCharType="end"/>
    </w:r>
  </w:p>
  <w:p w:rsidR="00C44ECB" w:rsidRDefault="00C44E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CB" w:rsidRDefault="00A54A9C">
    <w:pPr>
      <w:pStyle w:val="Piedepgina"/>
      <w:jc w:val="center"/>
    </w:pPr>
    <w:r>
      <w:fldChar w:fldCharType="begin"/>
    </w:r>
    <w:r>
      <w:instrText xml:space="preserve"> PAGE   \* MERGEFORMAT </w:instrText>
    </w:r>
    <w:r>
      <w:fldChar w:fldCharType="separate"/>
    </w:r>
    <w:r>
      <w:rPr>
        <w:noProof/>
      </w:rPr>
      <w:t>67</w:t>
    </w:r>
    <w:r>
      <w:rPr>
        <w:noProof/>
      </w:rPr>
      <w:fldChar w:fldCharType="end"/>
    </w:r>
  </w:p>
  <w:p w:rsidR="00C44ECB" w:rsidRDefault="00C44E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5766"/>
      <w:docPartObj>
        <w:docPartGallery w:val="Page Numbers (Bottom of Page)"/>
        <w:docPartUnique/>
      </w:docPartObj>
    </w:sdtPr>
    <w:sdtEndPr/>
    <w:sdtContent>
      <w:p w:rsidR="00C44ECB" w:rsidRDefault="00A54A9C">
        <w:pPr>
          <w:pStyle w:val="Piedepgina"/>
          <w:jc w:val="center"/>
        </w:pPr>
        <w:r>
          <w:fldChar w:fldCharType="begin"/>
        </w:r>
        <w:r>
          <w:instrText xml:space="preserve"> PAGE   \* MERGEFORMAT </w:instrText>
        </w:r>
        <w:r>
          <w:fldChar w:fldCharType="separate"/>
        </w:r>
        <w:r>
          <w:rPr>
            <w:noProof/>
          </w:rPr>
          <w:t>3</w:t>
        </w:r>
        <w:r>
          <w:rPr>
            <w:noProof/>
          </w:rPr>
          <w:fldChar w:fldCharType="end"/>
        </w:r>
      </w:p>
    </w:sdtContent>
  </w:sdt>
  <w:p w:rsidR="00C44ECB" w:rsidRDefault="00C44E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B6E" w:rsidRDefault="00882B6E" w:rsidP="005E1903">
      <w:pPr>
        <w:spacing w:after="0" w:line="240" w:lineRule="auto"/>
      </w:pPr>
      <w:r>
        <w:separator/>
      </w:r>
    </w:p>
  </w:footnote>
  <w:footnote w:type="continuationSeparator" w:id="0">
    <w:p w:rsidR="00882B6E" w:rsidRDefault="00882B6E" w:rsidP="005E1903">
      <w:pPr>
        <w:spacing w:after="0" w:line="240" w:lineRule="auto"/>
      </w:pPr>
      <w:r>
        <w:continuationSeparator/>
      </w:r>
    </w:p>
  </w:footnote>
  <w:footnote w:id="1">
    <w:p w:rsidR="00C44ECB" w:rsidRDefault="00C44ECB" w:rsidP="00990CD9">
      <w:pPr>
        <w:pStyle w:val="Textonotapie"/>
        <w:spacing w:after="0"/>
        <w:jc w:val="both"/>
        <w:rPr>
          <w:rFonts w:ascii="Arial" w:hAnsi="Arial" w:cs="Arial"/>
          <w:sz w:val="16"/>
          <w:szCs w:val="16"/>
        </w:rPr>
      </w:pPr>
      <w:r w:rsidRPr="005F6592">
        <w:rPr>
          <w:rStyle w:val="Refdenotaalpie"/>
          <w:rFonts w:ascii="Arial" w:hAnsi="Arial" w:cs="Arial"/>
          <w:sz w:val="16"/>
          <w:szCs w:val="16"/>
        </w:rPr>
        <w:footnoteRef/>
      </w:r>
      <w:r>
        <w:rPr>
          <w:rFonts w:ascii="Arial" w:hAnsi="Arial" w:cs="Arial"/>
          <w:sz w:val="16"/>
          <w:szCs w:val="16"/>
        </w:rPr>
        <w:t>D’acord amb Idescat, l</w:t>
      </w:r>
      <w:r w:rsidRPr="005F6592">
        <w:rPr>
          <w:rFonts w:ascii="Arial" w:hAnsi="Arial" w:cs="Arial"/>
          <w:sz w:val="16"/>
          <w:szCs w:val="16"/>
        </w:rPr>
        <w:t xml:space="preserve">es dades sobre protecció social s’elaboren d'acord amb la metodologia Seepros que impulsa Eurostat. Aquesta metodologia, parteix d'una concepció molt àmplia de la protecció social, en la que s'hi contempla tant l'acció de les entitats públiques com la de les privades, sempre que es realitzi amb l'objectiu de protegir a un tercer i que no existeixi contrapartida equivalent i simultània de la persona protegida. L'objectiu de la metodologia és, fonamentalment, aconseguir xifres comparables entre diferents països, independentment de la diversitat de formes que prenen els corresponents sistemes de protecció social i inclou </w:t>
      </w:r>
      <w:r>
        <w:rPr>
          <w:rFonts w:ascii="Arial" w:hAnsi="Arial" w:cs="Arial"/>
          <w:sz w:val="16"/>
          <w:szCs w:val="16"/>
        </w:rPr>
        <w:t>les funcions o riscos i necessitats següents:</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1. </w:t>
      </w:r>
      <w:r w:rsidRPr="005F6592">
        <w:rPr>
          <w:rFonts w:ascii="Arial" w:hAnsi="Arial" w:cs="Arial"/>
          <w:sz w:val="16"/>
          <w:szCs w:val="16"/>
        </w:rPr>
        <w:t>Malaltia/atenció sanitària</w:t>
      </w:r>
      <w:r>
        <w:rPr>
          <w:rFonts w:ascii="Arial" w:hAnsi="Arial" w:cs="Arial"/>
          <w:sz w:val="16"/>
          <w:szCs w:val="16"/>
        </w:rPr>
        <w:t xml:space="preserve">: </w:t>
      </w:r>
      <w:r w:rsidRPr="005F6592">
        <w:rPr>
          <w:rFonts w:ascii="Arial" w:hAnsi="Arial" w:cs="Arial"/>
          <w:sz w:val="16"/>
          <w:szCs w:val="16"/>
        </w:rPr>
        <w:t>Manteniment de la renda i suport en efectiu a causa d'una malaltia física o mental, amb l'excepció dels casos d'invalidesa. Atenció sanitària destinada a conservar, restablir o millorar l'estat de salut de les persones protegides.</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2. </w:t>
      </w:r>
      <w:r w:rsidRPr="005F6592">
        <w:rPr>
          <w:rFonts w:ascii="Arial" w:hAnsi="Arial" w:cs="Arial"/>
          <w:sz w:val="16"/>
          <w:szCs w:val="16"/>
        </w:rPr>
        <w:t>Invalidesa</w:t>
      </w:r>
      <w:r>
        <w:rPr>
          <w:rFonts w:ascii="Arial" w:hAnsi="Arial" w:cs="Arial"/>
          <w:sz w:val="16"/>
          <w:szCs w:val="16"/>
        </w:rPr>
        <w:t xml:space="preserve">: </w:t>
      </w:r>
      <w:r w:rsidRPr="005F6592">
        <w:rPr>
          <w:rFonts w:ascii="Arial" w:hAnsi="Arial" w:cs="Arial"/>
          <w:sz w:val="16"/>
          <w:szCs w:val="16"/>
        </w:rPr>
        <w:t>Manteniment de la renda i suport en efectiu o en espècies (exceptuant l'atenció sanitària) relacionada amb la incapacitat de les persones disminuïdes físiques o psíquiques.</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3. </w:t>
      </w:r>
      <w:r w:rsidRPr="005F6592">
        <w:rPr>
          <w:rFonts w:ascii="Arial" w:hAnsi="Arial" w:cs="Arial"/>
          <w:sz w:val="16"/>
          <w:szCs w:val="16"/>
        </w:rPr>
        <w:t>Vellesa</w:t>
      </w:r>
      <w:r>
        <w:rPr>
          <w:rFonts w:ascii="Arial" w:hAnsi="Arial" w:cs="Arial"/>
          <w:sz w:val="16"/>
          <w:szCs w:val="16"/>
        </w:rPr>
        <w:t xml:space="preserve">: </w:t>
      </w:r>
      <w:r w:rsidRPr="005F6592">
        <w:rPr>
          <w:rFonts w:ascii="Arial" w:hAnsi="Arial" w:cs="Arial"/>
          <w:sz w:val="16"/>
          <w:szCs w:val="16"/>
        </w:rPr>
        <w:t>Manteniment de la renda i suport en efectiu o en espècies (exceptuant atenció sanitària) relacionada amb la vellesa.</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4. </w:t>
      </w:r>
      <w:r w:rsidRPr="005F6592">
        <w:rPr>
          <w:rFonts w:ascii="Arial" w:hAnsi="Arial" w:cs="Arial"/>
          <w:sz w:val="16"/>
          <w:szCs w:val="16"/>
        </w:rPr>
        <w:t>Supervivència</w:t>
      </w:r>
      <w:r>
        <w:rPr>
          <w:rFonts w:ascii="Arial" w:hAnsi="Arial" w:cs="Arial"/>
          <w:sz w:val="16"/>
          <w:szCs w:val="16"/>
        </w:rPr>
        <w:t xml:space="preserve">: </w:t>
      </w:r>
      <w:r w:rsidRPr="005F6592">
        <w:rPr>
          <w:rFonts w:ascii="Arial" w:hAnsi="Arial" w:cs="Arial"/>
          <w:sz w:val="16"/>
          <w:szCs w:val="16"/>
        </w:rPr>
        <w:t>Manteniment de la renda i suport en efectiu o en espècies relacionada amb la mort d'un membre de la família.</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5. </w:t>
      </w:r>
      <w:r w:rsidRPr="005F6592">
        <w:rPr>
          <w:rFonts w:ascii="Arial" w:hAnsi="Arial" w:cs="Arial"/>
          <w:sz w:val="16"/>
          <w:szCs w:val="16"/>
        </w:rPr>
        <w:t>Família/fills</w:t>
      </w:r>
      <w:r>
        <w:rPr>
          <w:rFonts w:ascii="Arial" w:hAnsi="Arial" w:cs="Arial"/>
          <w:sz w:val="16"/>
          <w:szCs w:val="16"/>
        </w:rPr>
        <w:t xml:space="preserve">: </w:t>
      </w:r>
      <w:r w:rsidRPr="005F6592">
        <w:rPr>
          <w:rFonts w:ascii="Arial" w:hAnsi="Arial" w:cs="Arial"/>
          <w:sz w:val="16"/>
          <w:szCs w:val="16"/>
        </w:rPr>
        <w:t>Assistència en efectiu o en espècies (exceptuant atenció sanitària) relacionada amb l'embaràs, el naixement i l'adopció, l'atenció d'infants i altres familiars.</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6. </w:t>
      </w:r>
      <w:r w:rsidRPr="005F6592">
        <w:rPr>
          <w:rFonts w:ascii="Arial" w:hAnsi="Arial" w:cs="Arial"/>
          <w:sz w:val="16"/>
          <w:szCs w:val="16"/>
        </w:rPr>
        <w:t>Atur</w:t>
      </w:r>
      <w:r>
        <w:rPr>
          <w:rFonts w:ascii="Arial" w:hAnsi="Arial" w:cs="Arial"/>
          <w:sz w:val="16"/>
          <w:szCs w:val="16"/>
        </w:rPr>
        <w:t xml:space="preserve">: </w:t>
      </w:r>
      <w:r w:rsidRPr="005F6592">
        <w:rPr>
          <w:rFonts w:ascii="Arial" w:hAnsi="Arial" w:cs="Arial"/>
          <w:sz w:val="16"/>
          <w:szCs w:val="16"/>
        </w:rPr>
        <w:t>Manteniment de la renda i assistència relacionades amb la situació d'atur.</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7. </w:t>
      </w:r>
      <w:r w:rsidRPr="005F6592">
        <w:rPr>
          <w:rFonts w:ascii="Arial" w:hAnsi="Arial" w:cs="Arial"/>
          <w:sz w:val="16"/>
          <w:szCs w:val="16"/>
        </w:rPr>
        <w:t>Habitatge</w:t>
      </w:r>
      <w:r>
        <w:rPr>
          <w:rFonts w:ascii="Arial" w:hAnsi="Arial" w:cs="Arial"/>
          <w:sz w:val="16"/>
          <w:szCs w:val="16"/>
        </w:rPr>
        <w:t xml:space="preserve">: </w:t>
      </w:r>
      <w:r w:rsidRPr="005F6592">
        <w:rPr>
          <w:rFonts w:ascii="Arial" w:hAnsi="Arial" w:cs="Arial"/>
          <w:sz w:val="16"/>
          <w:szCs w:val="16"/>
        </w:rPr>
        <w:t>Ajut per al finançament de l'habitatge.</w:t>
      </w:r>
    </w:p>
    <w:p w:rsidR="00C44ECB" w:rsidRPr="005F6592" w:rsidRDefault="00C44ECB" w:rsidP="00990CD9">
      <w:pPr>
        <w:pStyle w:val="Textonotapie"/>
        <w:spacing w:after="0"/>
        <w:jc w:val="both"/>
        <w:rPr>
          <w:rFonts w:ascii="Arial" w:hAnsi="Arial" w:cs="Arial"/>
          <w:sz w:val="16"/>
          <w:szCs w:val="16"/>
        </w:rPr>
      </w:pPr>
      <w:r>
        <w:rPr>
          <w:rFonts w:ascii="Arial" w:hAnsi="Arial" w:cs="Arial"/>
          <w:sz w:val="16"/>
          <w:szCs w:val="16"/>
        </w:rPr>
        <w:t xml:space="preserve">8. </w:t>
      </w:r>
      <w:r w:rsidRPr="005F6592">
        <w:rPr>
          <w:rFonts w:ascii="Arial" w:hAnsi="Arial" w:cs="Arial"/>
          <w:sz w:val="16"/>
          <w:szCs w:val="16"/>
        </w:rPr>
        <w:t>Exclusió social no classificada en una altra part</w:t>
      </w:r>
      <w:r>
        <w:rPr>
          <w:rFonts w:ascii="Arial" w:hAnsi="Arial" w:cs="Arial"/>
          <w:sz w:val="16"/>
          <w:szCs w:val="16"/>
        </w:rPr>
        <w:t xml:space="preserve">: </w:t>
      </w:r>
      <w:r w:rsidRPr="005F6592">
        <w:rPr>
          <w:rFonts w:ascii="Arial" w:hAnsi="Arial" w:cs="Arial"/>
          <w:sz w:val="16"/>
          <w:szCs w:val="16"/>
        </w:rPr>
        <w:t>Prestacions en efectiu o en espècies (excepte atenció sanitària), destinades a lluitar contra l'exclusió social, sempre que no siguin considerades en una altra funció.</w:t>
      </w:r>
    </w:p>
  </w:footnote>
  <w:footnote w:id="2">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 xml:space="preserve"> Els estabilitzadors automàtics pel costat de la despesa, són aquelles modificacions de despesa pública que s’activen de forma automàtica pel propi funcionament de l’economia, i que per tant no son fruït d’una decisió deliberada del govern, com per exemple l’increment de la despesa en prestacions d’atur en situació de recessió econòmica. </w:t>
      </w:r>
    </w:p>
  </w:footnote>
  <w:footnote w:id="3">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Pr>
          <w:rFonts w:ascii="Arial" w:hAnsi="Arial" w:cs="Arial"/>
          <w:sz w:val="16"/>
          <w:szCs w:val="16"/>
        </w:rPr>
        <w:t xml:space="preserve"> No es disposa d’una sèrie tan</w:t>
      </w:r>
      <w:r w:rsidRPr="005F6592">
        <w:rPr>
          <w:rFonts w:ascii="Arial" w:hAnsi="Arial" w:cs="Arial"/>
          <w:sz w:val="16"/>
          <w:szCs w:val="16"/>
        </w:rPr>
        <w:t xml:space="preserve"> llarga de pressió fiscal per Catalunya. </w:t>
      </w:r>
    </w:p>
  </w:footnote>
  <w:footnote w:id="4">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 xml:space="preserve"> Els estabilitzadors automàtics pel costat dels ingressos són aquelles modificacions dels ingressos públics que s’activen de forma automàtica pel propi funcionament de l’economia i que, per tant, no són fruït d’una decisió deliberada del govern en la política fiscal, com per exemple la reducció dels ingressos tributaris en situació de recessió econòmica.</w:t>
      </w:r>
    </w:p>
  </w:footnote>
  <w:footnote w:id="5">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Impostos de caràcter directe i per tant amb una estructura més progressiva de l’impost pel fet de poder tenir en compte en la seva recaptació la capacitat econòmica del subjecte passiu.</w:t>
      </w:r>
    </w:p>
  </w:footnote>
  <w:footnote w:id="6">
    <w:p w:rsidR="00C44ECB" w:rsidRPr="005F6592" w:rsidRDefault="00C44ECB" w:rsidP="005D7847">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No tota la renda generada dins d’una economia en el seu procés productiu, el PIB per càpita, acaba repercutint directament en les llars residents del país. Una part d’aquesta renda no es distribueix a les llars i és que queda dins de les pròpies empreses (renda no distribuïda per a fer inversions i reposicions de capital) i una part va pagar rendes a l’exterior (rendes netes a l’exterior). Descomptats aquests conceptes del PIB per càpita s’obté el Saldo de la Renda Primària per càpita que va a parar a les llars. Quan deduïm del Saldo de Rendes Primària de les llars les transferències netes a l’exterior, en restem els tributs pagats per les llars i afegim les prestacions socials monetàries (diferents de les t</w:t>
      </w:r>
      <w:r>
        <w:rPr>
          <w:rFonts w:ascii="Arial" w:hAnsi="Arial" w:cs="Arial"/>
          <w:sz w:val="16"/>
          <w:szCs w:val="16"/>
        </w:rPr>
        <w:t>ransferències socials en espècie</w:t>
      </w:r>
      <w:r w:rsidRPr="005F6592">
        <w:rPr>
          <w:rFonts w:ascii="Arial" w:hAnsi="Arial" w:cs="Arial"/>
          <w:sz w:val="16"/>
          <w:szCs w:val="16"/>
        </w:rPr>
        <w:t>) rebudes per les famílies, obtenim el concepte de la Renda Familiar Disponible Bruta  per càpita. Fina</w:t>
      </w:r>
      <w:r>
        <w:rPr>
          <w:rFonts w:ascii="Arial" w:hAnsi="Arial" w:cs="Arial"/>
          <w:sz w:val="16"/>
          <w:szCs w:val="16"/>
        </w:rPr>
        <w:t>l</w:t>
      </w:r>
      <w:r w:rsidRPr="005F6592">
        <w:rPr>
          <w:rFonts w:ascii="Arial" w:hAnsi="Arial" w:cs="Arial"/>
          <w:sz w:val="16"/>
          <w:szCs w:val="16"/>
        </w:rPr>
        <w:t>ment, quan agreguem a la RFBD per càpita les transferències socials en espècie (despesa pública en consum individual, com per exemple la despesa en educació i serveis sanitaris o d’habitatge) obtenim el concepte de la Renda Familiar Bruta Disponible ajustada per càpita. Aquestes dues darreres variables RFBD no ajustada i ajustada per càpita són mesures clarament vinculades al nivell de benestar directe de les llars.</w:t>
      </w:r>
    </w:p>
  </w:footnote>
  <w:footnote w:id="7">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 xml:space="preserve">A partir de l’Enquesta de Condicions de Vida (ECV) de l’INE es calcula la renda neta anual de la llar agregant les rendes generades per tots els seus membre. El concepte de renda recull exhaustivament els ingressos corrents monetaris i no monetaris de les llars, ja siguin fonts individuals o col·lectives, en un any natural que es correspon a l'any anterior al de la referència temporal de realització de l’enquesta. S'hi inclouen les rendes de les persones que treballen per compte d'altri i per compte propi, les prestacions, subsidis i ajuts del sistema de protecció social, rendes provinents de la inversió i la propietat, i transferències rebudes d'altres llars. No es tenen en compte el valor dels béns produïts per a autoconsum, ni el lloguer imputat pels habitatges en propietat. S'exclouen les cotitzacions socials,els impostos sobre la renda i el patrimoni, i les transferències realitzades a d'altres llars. Es presenten els resultats de la renda mitjana per llar, per persona i per unitats de consum / o de renda equivalent. </w:t>
      </w:r>
    </w:p>
    <w:p w:rsidR="00C44ECB" w:rsidRPr="005F6592" w:rsidRDefault="00C44ECB" w:rsidP="005F6592">
      <w:pPr>
        <w:pStyle w:val="Textonotapie"/>
        <w:jc w:val="both"/>
        <w:rPr>
          <w:rFonts w:ascii="Arial" w:hAnsi="Arial" w:cs="Arial"/>
          <w:sz w:val="16"/>
          <w:szCs w:val="16"/>
        </w:rPr>
      </w:pPr>
      <w:r w:rsidRPr="005F6592">
        <w:rPr>
          <w:rFonts w:ascii="Arial" w:hAnsi="Arial" w:cs="Arial"/>
          <w:sz w:val="16"/>
          <w:szCs w:val="16"/>
        </w:rPr>
        <w:t>El concepte de renda equivalent neta o renda neta per unitat de consum, es calcula per tal de tenir en compte l’impacte de les diferències en la dimensió de les llars. Així, per tal de comparar llars amb dimensió i composició diferents s'empren les escales d'equivalència, que converteixen el nombre de membres residents a la llar en nombre d'unitats de consum. L'escala d'equivalència utilitzada és la de l'OCDE modificada, que dóna valor 1 al primer adult de la llar, 0,5 a la resta d'adults de la llar, i 0,3 als menors de 14 anys. La renda equivalent atribuïble a cada membre de llar de la família es calcula dividint el total de renda disponible de la llar per el factor d’equivalència.</w:t>
      </w:r>
    </w:p>
  </w:footnote>
  <w:footnote w:id="8">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 xml:space="preserve"> L'índex de Gini mesura el grau de desigualtat en una distribució d'una variable contínua. S'obté a partir de la suma de les diferències absoluta entre cada parell de rendes de la distribució. El rang dels valors de l'Índex de Gini és entre 0 (màxima equitat) i 1 (màxima desigualtat).</w:t>
      </w:r>
    </w:p>
  </w:footnote>
  <w:footnote w:id="9">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 xml:space="preserve">  D’acord amb la definició d’Idescat </w:t>
      </w:r>
      <w:r>
        <w:rPr>
          <w:rFonts w:ascii="Arial" w:hAnsi="Arial" w:cs="Arial"/>
          <w:sz w:val="16"/>
          <w:szCs w:val="16"/>
        </w:rPr>
        <w:t xml:space="preserve"> </w:t>
      </w:r>
      <w:r w:rsidRPr="005F6592">
        <w:rPr>
          <w:rFonts w:ascii="Arial" w:hAnsi="Arial" w:cs="Arial"/>
          <w:sz w:val="16"/>
          <w:szCs w:val="16"/>
        </w:rPr>
        <w:t>l'índex S80/20 és un indicador de ràtio de proporció (share ràtio), que s'interpreta com la renda obtinguda pel quintil superior, és a dir, el 20% de la població amb rendes més altes, en relació amb la del quintil inferior.</w:t>
      </w:r>
    </w:p>
  </w:footnote>
  <w:footnote w:id="10">
    <w:p w:rsidR="00C44ECB" w:rsidRPr="005F6592" w:rsidRDefault="00C44ECB" w:rsidP="00516FBB">
      <w:pPr>
        <w:jc w:val="both"/>
        <w:rPr>
          <w:rFonts w:ascii="Arial" w:hAnsi="Arial" w:cs="Arial"/>
          <w:sz w:val="16"/>
          <w:szCs w:val="16"/>
        </w:rPr>
      </w:pPr>
      <w:r w:rsidRPr="005F6592">
        <w:rPr>
          <w:rStyle w:val="Refdenotaalpie"/>
          <w:rFonts w:ascii="Arial" w:hAnsi="Arial" w:cs="Arial"/>
          <w:sz w:val="16"/>
          <w:szCs w:val="16"/>
        </w:rPr>
        <w:footnoteRef/>
      </w:r>
      <w:r w:rsidRPr="005F6592">
        <w:rPr>
          <w:rFonts w:ascii="Arial" w:eastAsia="Times New Roman" w:hAnsi="Arial" w:cs="Arial"/>
          <w:sz w:val="16"/>
          <w:szCs w:val="16"/>
          <w:lang w:eastAsia="es-ES"/>
        </w:rPr>
        <w:t>Indicador que recull la proporció de població que es troba o bé en situació de risc a la pobresa, o bé en situació de privació material severa, o bé que viu en llars amb intensitat de treball molt baixa.</w:t>
      </w:r>
    </w:p>
  </w:footnote>
  <w:footnote w:id="11">
    <w:p w:rsidR="00C44ECB" w:rsidRPr="005F6592" w:rsidRDefault="00C44ECB" w:rsidP="005F6592">
      <w:pPr>
        <w:jc w:val="both"/>
        <w:rPr>
          <w:rFonts w:ascii="Arial" w:hAnsi="Arial" w:cs="Arial"/>
          <w:sz w:val="16"/>
          <w:szCs w:val="16"/>
        </w:rPr>
      </w:pPr>
      <w:r w:rsidRPr="005F6592">
        <w:rPr>
          <w:rStyle w:val="Refdenotaalpie"/>
          <w:rFonts w:ascii="Arial" w:hAnsi="Arial" w:cs="Arial"/>
          <w:sz w:val="16"/>
          <w:szCs w:val="16"/>
        </w:rPr>
        <w:footnoteRef/>
      </w:r>
      <w:r w:rsidRPr="005F6592">
        <w:rPr>
          <w:rFonts w:ascii="Arial" w:eastAsia="Times New Roman" w:hAnsi="Arial" w:cs="Arial"/>
          <w:sz w:val="16"/>
          <w:szCs w:val="16"/>
          <w:lang w:eastAsia="es-ES"/>
        </w:rPr>
        <w:t>Indicador que recull la proporció de població que es troba o bé en situació de risc a la pobresa, o bé en situació de privació material severa, o bé que viu en llars amb intensitat de treball molt baixa.</w:t>
      </w:r>
    </w:p>
  </w:footnote>
  <w:footnote w:id="12">
    <w:p w:rsidR="00C44ECB" w:rsidRDefault="00C44ECB" w:rsidP="00AD69D5">
      <w:r>
        <w:rPr>
          <w:rStyle w:val="Refdenotaalpie"/>
        </w:rPr>
        <w:footnoteRef/>
      </w:r>
      <w:r>
        <w:t xml:space="preserve"> </w:t>
      </w:r>
      <w:r w:rsidRPr="00AE5089">
        <w:rPr>
          <w:rFonts w:ascii="Arial" w:hAnsi="Arial" w:cs="Arial"/>
          <w:sz w:val="16"/>
          <w:szCs w:val="16"/>
        </w:rPr>
        <w:t>Aquest llindar es fixa com el 60% de la mediana nacional dels ingressos disponibles anuals equivalents (després de transferències socials).</w:t>
      </w:r>
      <w:r>
        <w:rPr>
          <w:rFonts w:ascii="Arial" w:hAnsi="Arial" w:cs="Arial"/>
          <w:sz w:val="16"/>
          <w:szCs w:val="16"/>
        </w:rPr>
        <w:t xml:space="preserve"> </w:t>
      </w:r>
      <w:r w:rsidRPr="00AE5089">
        <w:rPr>
          <w:rFonts w:ascii="Arial" w:hAnsi="Arial" w:cs="Arial"/>
          <w:sz w:val="16"/>
          <w:szCs w:val="16"/>
        </w:rPr>
        <w:t>En el cas de Catalunya, el llindar es fixa com el 60% de la mediana dels ingressos disponibles anuals equivalents de la població catalana (després de transferències socials</w:t>
      </w:r>
      <w:r>
        <w:rPr>
          <w:rFonts w:ascii="Arial" w:hAnsi="Arial" w:cs="Arial"/>
          <w:sz w:val="16"/>
          <w:szCs w:val="16"/>
        </w:rPr>
        <w:t>)</w:t>
      </w:r>
    </w:p>
  </w:footnote>
  <w:footnote w:id="13">
    <w:p w:rsidR="00C44ECB" w:rsidRPr="00B43F2A" w:rsidRDefault="00C44ECB" w:rsidP="00B43F2A">
      <w:pPr>
        <w:pStyle w:val="Textonotapie"/>
        <w:spacing w:line="240" w:lineRule="auto"/>
        <w:rPr>
          <w:rFonts w:ascii="Arial" w:hAnsi="Arial" w:cs="Arial"/>
          <w:sz w:val="16"/>
          <w:szCs w:val="16"/>
        </w:rPr>
      </w:pPr>
      <w:r w:rsidRPr="00B43F2A">
        <w:rPr>
          <w:rStyle w:val="Refdenotaalpie"/>
          <w:rFonts w:ascii="Arial" w:hAnsi="Arial" w:cs="Arial"/>
          <w:sz w:val="16"/>
          <w:szCs w:val="16"/>
        </w:rPr>
        <w:footnoteRef/>
      </w:r>
      <w:r w:rsidRPr="00B43F2A">
        <w:rPr>
          <w:rFonts w:ascii="Arial" w:hAnsi="Arial" w:cs="Arial"/>
          <w:sz w:val="16"/>
          <w:szCs w:val="16"/>
        </w:rPr>
        <w:t xml:space="preserve"> Per a un anàlisis de la distribució factorial de la renda veure: “</w:t>
      </w:r>
      <w:hyperlink r:id="rId1" w:history="1">
        <w:r w:rsidRPr="00B43F2A">
          <w:rPr>
            <w:rStyle w:val="Hipervnculo"/>
            <w:rFonts w:ascii="Arial" w:hAnsi="Arial" w:cs="Arial"/>
            <w:sz w:val="16"/>
            <w:szCs w:val="16"/>
          </w:rPr>
          <w:t>Evolució de la distribució de la renda a Espanya i l’Eurozona amb una aproximació de la situació a Catalunya 2007-2013</w:t>
        </w:r>
      </w:hyperlink>
      <w:r>
        <w:rPr>
          <w:rFonts w:ascii="Arial" w:hAnsi="Arial" w:cs="Arial"/>
          <w:sz w:val="16"/>
          <w:szCs w:val="16"/>
        </w:rPr>
        <w:t>”. Barcelona: Comissió Obrera de Catalunya. Ceres, 2015.</w:t>
      </w:r>
    </w:p>
  </w:footnote>
  <w:footnote w:id="14">
    <w:p w:rsidR="00C44ECB" w:rsidRPr="005F6592" w:rsidRDefault="00C44ECB" w:rsidP="005F6592">
      <w:pPr>
        <w:pStyle w:val="Textonotapie"/>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 xml:space="preserve"> Veure Informe 03/2013 Informe. </w:t>
      </w:r>
      <w:hyperlink r:id="rId2" w:history="1">
        <w:r w:rsidRPr="005F6592">
          <w:rPr>
            <w:rStyle w:val="Hipervnculo"/>
            <w:rFonts w:ascii="Arial" w:hAnsi="Arial" w:cs="Arial"/>
            <w:sz w:val="16"/>
            <w:szCs w:val="16"/>
          </w:rPr>
          <w:t>Distribución de la renta en España: desigualdad, cambios</w:t>
        </w:r>
        <w:r>
          <w:rPr>
            <w:rStyle w:val="Hipervnculo"/>
            <w:rFonts w:ascii="Arial" w:hAnsi="Arial" w:cs="Arial"/>
            <w:sz w:val="16"/>
            <w:szCs w:val="16"/>
          </w:rPr>
          <w:t xml:space="preserve"> </w:t>
        </w:r>
        <w:r w:rsidRPr="005F6592">
          <w:rPr>
            <w:rStyle w:val="Hipervnculo"/>
            <w:rFonts w:ascii="Arial" w:hAnsi="Arial" w:cs="Arial"/>
            <w:sz w:val="16"/>
            <w:szCs w:val="16"/>
          </w:rPr>
          <w:t>estructurales y ciclos</w:t>
        </w:r>
      </w:hyperlink>
      <w:r w:rsidRPr="005F6592">
        <w:rPr>
          <w:rFonts w:ascii="Arial" w:hAnsi="Arial" w:cs="Arial"/>
          <w:sz w:val="16"/>
          <w:szCs w:val="16"/>
        </w:rPr>
        <w:t>. Consejo</w:t>
      </w:r>
      <w:r>
        <w:rPr>
          <w:rFonts w:ascii="Arial" w:hAnsi="Arial" w:cs="Arial"/>
          <w:sz w:val="16"/>
          <w:szCs w:val="16"/>
        </w:rPr>
        <w:t xml:space="preserve"> </w:t>
      </w:r>
      <w:r w:rsidRPr="005F6592">
        <w:rPr>
          <w:rFonts w:ascii="Arial" w:hAnsi="Arial" w:cs="Arial"/>
          <w:sz w:val="16"/>
          <w:szCs w:val="16"/>
        </w:rPr>
        <w:t>Economico y Social de España (CES), 2013.</w:t>
      </w:r>
    </w:p>
  </w:footnote>
  <w:footnote w:id="15">
    <w:p w:rsidR="00C44ECB" w:rsidRDefault="00C44ECB" w:rsidP="00B777FC">
      <w:pPr>
        <w:pStyle w:val="Textonotapie"/>
        <w:spacing w:after="120"/>
        <w:jc w:val="both"/>
        <w:rPr>
          <w:rFonts w:ascii="Arial" w:hAnsi="Arial" w:cs="Arial"/>
          <w:sz w:val="16"/>
          <w:szCs w:val="16"/>
        </w:rPr>
      </w:pPr>
      <w:r w:rsidRPr="005F6592">
        <w:rPr>
          <w:rStyle w:val="Refdenotaalpie"/>
          <w:rFonts w:ascii="Arial" w:hAnsi="Arial" w:cs="Arial"/>
          <w:sz w:val="16"/>
          <w:szCs w:val="16"/>
        </w:rPr>
        <w:footnoteRef/>
      </w:r>
      <w:r w:rsidRPr="005F6592">
        <w:rPr>
          <w:rFonts w:ascii="Arial" w:hAnsi="Arial" w:cs="Arial"/>
          <w:sz w:val="16"/>
          <w:szCs w:val="16"/>
        </w:rPr>
        <w:t xml:space="preserve"> La participació de les rendes salarials en el PIB es pot descompo</w:t>
      </w:r>
      <w:r>
        <w:rPr>
          <w:rFonts w:ascii="Arial" w:hAnsi="Arial" w:cs="Arial"/>
          <w:sz w:val="16"/>
          <w:szCs w:val="16"/>
        </w:rPr>
        <w:t>ndre</w:t>
      </w:r>
      <w:r w:rsidRPr="005F6592">
        <w:rPr>
          <w:rFonts w:ascii="Arial" w:hAnsi="Arial" w:cs="Arial"/>
          <w:sz w:val="16"/>
          <w:szCs w:val="16"/>
        </w:rPr>
        <w:t xml:space="preserve"> </w:t>
      </w:r>
      <w:r>
        <w:rPr>
          <w:rFonts w:ascii="Arial" w:hAnsi="Arial" w:cs="Arial"/>
          <w:sz w:val="16"/>
          <w:szCs w:val="16"/>
        </w:rPr>
        <w:t>així</w:t>
      </w:r>
      <w:r w:rsidRPr="005F6592">
        <w:rPr>
          <w:rFonts w:ascii="Arial" w:hAnsi="Arial" w:cs="Arial"/>
          <w:sz w:val="16"/>
          <w:szCs w:val="16"/>
        </w:rPr>
        <w:t>:</w:t>
      </w:r>
    </w:p>
    <w:p w:rsidR="00C44ECB" w:rsidRPr="005F6592" w:rsidRDefault="00C44ECB" w:rsidP="00B777FC">
      <w:pPr>
        <w:pStyle w:val="Textonotapie"/>
        <w:spacing w:after="120"/>
        <w:jc w:val="both"/>
        <w:rPr>
          <w:rFonts w:ascii="Arial" w:hAnsi="Arial" w:cs="Arial"/>
          <w:sz w:val="16"/>
          <w:szCs w:val="16"/>
        </w:rPr>
      </w:pPr>
      <w:r w:rsidRPr="005F6592">
        <w:rPr>
          <w:rFonts w:ascii="Arial" w:hAnsi="Arial" w:cs="Arial"/>
          <w:sz w:val="16"/>
          <w:szCs w:val="16"/>
        </w:rPr>
        <w:t xml:space="preserve"> </w:t>
      </w:r>
      <m:oMath>
        <m:f>
          <m:fPr>
            <m:ctrlPr>
              <w:rPr>
                <w:rFonts w:ascii="Cambria Math" w:hAnsi="Arial" w:cs="Arial"/>
                <w:i/>
              </w:rPr>
            </m:ctrlPr>
          </m:fPr>
          <m:num>
            <m:r>
              <w:rPr>
                <w:rFonts w:ascii="Cambria Math" w:hAnsi="Cambria Math" w:cs="Arial"/>
              </w:rPr>
              <m:t>Remuneraci</m:t>
            </m:r>
            <m:r>
              <w:rPr>
                <w:rFonts w:ascii="Cambria Math" w:hAnsi="Arial" w:cs="Arial"/>
              </w:rPr>
              <m:t>ó</m:t>
            </m:r>
            <m:r>
              <w:rPr>
                <w:rFonts w:ascii="Cambria Math" w:hAnsi="Cambria Math" w:cs="Arial"/>
              </w:rPr>
              <m:t>Assalariats</m:t>
            </m:r>
          </m:num>
          <m:den>
            <m:r>
              <w:rPr>
                <w:rFonts w:ascii="Cambria Math" w:hAnsi="Cambria Math" w:cs="Arial"/>
              </w:rPr>
              <m:t>PIBacf</m:t>
            </m:r>
          </m:den>
        </m:f>
        <m:r>
          <w:rPr>
            <w:rFonts w:ascii="Cambria Math" w:hAnsi="Arial" w:cs="Arial"/>
          </w:rPr>
          <m:t>=</m:t>
        </m:r>
        <m:f>
          <m:fPr>
            <m:ctrlPr>
              <w:rPr>
                <w:rFonts w:ascii="Cambria Math" w:hAnsi="Arial" w:cs="Arial"/>
                <w:i/>
              </w:rPr>
            </m:ctrlPr>
          </m:fPr>
          <m:num>
            <m:f>
              <m:fPr>
                <m:type m:val="skw"/>
                <m:ctrlPr>
                  <w:rPr>
                    <w:rFonts w:ascii="Cambria Math" w:hAnsi="Arial" w:cs="Arial"/>
                    <w:i/>
                  </w:rPr>
                </m:ctrlPr>
              </m:fPr>
              <m:num>
                <m:r>
                  <w:rPr>
                    <w:rFonts w:ascii="Cambria Math" w:hAnsi="Cambria Math" w:cs="Arial"/>
                  </w:rPr>
                  <m:t>Remuneraci</m:t>
                </m:r>
                <m:r>
                  <w:rPr>
                    <w:rFonts w:ascii="Cambria Math" w:hAnsi="Arial" w:cs="Arial"/>
                  </w:rPr>
                  <m:t>ó</m:t>
                </m:r>
                <m:r>
                  <w:rPr>
                    <w:rFonts w:ascii="Cambria Math" w:hAnsi="Cambria Math" w:cs="Arial"/>
                  </w:rPr>
                  <m:t>Assalariats</m:t>
                </m:r>
              </m:num>
              <m:den>
                <m:r>
                  <w:rPr>
                    <w:rFonts w:ascii="Cambria Math" w:hAnsi="Cambria Math" w:cs="Arial"/>
                  </w:rPr>
                  <m:t>Assalariats</m:t>
                </m:r>
              </m:den>
            </m:f>
          </m:num>
          <m:den>
            <m:f>
              <m:fPr>
                <m:type m:val="skw"/>
                <m:ctrlPr>
                  <w:rPr>
                    <w:rFonts w:ascii="Cambria Math" w:hAnsi="Arial" w:cs="Arial"/>
                    <w:i/>
                  </w:rPr>
                </m:ctrlPr>
              </m:fPr>
              <m:num>
                <m:r>
                  <w:rPr>
                    <w:rFonts w:ascii="Cambria Math" w:hAnsi="Cambria Math" w:cs="Arial"/>
                  </w:rPr>
                  <m:t>PIBacf</m:t>
                </m:r>
              </m:num>
              <m:den>
                <m:r>
                  <w:rPr>
                    <w:rFonts w:ascii="Cambria Math" w:hAnsi="Cambria Math" w:cs="Arial"/>
                  </w:rPr>
                  <m:t>Ocupats</m:t>
                </m:r>
              </m:den>
            </m:f>
          </m:den>
        </m:f>
        <m:r>
          <w:rPr>
            <w:rFonts w:ascii="Cambria Math" w:hAnsi="Arial" w:cs="Arial"/>
          </w:rPr>
          <m:t>×</m:t>
        </m:r>
        <m:f>
          <m:fPr>
            <m:ctrlPr>
              <w:rPr>
                <w:rFonts w:ascii="Cambria Math" w:hAnsi="Arial" w:cs="Arial"/>
                <w:i/>
              </w:rPr>
            </m:ctrlPr>
          </m:fPr>
          <m:num>
            <m:r>
              <w:rPr>
                <w:rFonts w:ascii="Cambria Math" w:hAnsi="Cambria Math" w:cs="Arial"/>
              </w:rPr>
              <m:t>Assalariats</m:t>
            </m:r>
          </m:num>
          <m:den>
            <m:r>
              <w:rPr>
                <w:rFonts w:ascii="Cambria Math" w:hAnsi="Cambria Math" w:cs="Arial"/>
              </w:rPr>
              <m:t>Ocupats</m:t>
            </m:r>
          </m:den>
        </m:f>
      </m:oMath>
      <w:r w:rsidRPr="00B777FC">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CB" w:rsidRDefault="00C44ECB" w:rsidP="00590F01">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CB" w:rsidRPr="006E46F0" w:rsidRDefault="00C44ECB" w:rsidP="00374B21">
    <w:pPr>
      <w:spacing w:after="0"/>
      <w:rPr>
        <w:rFonts w:cs="Arial"/>
        <w:sz w:val="20"/>
        <w:szCs w:val="20"/>
        <w:u w:val="single"/>
      </w:rPr>
    </w:pPr>
    <w:r>
      <w:rPr>
        <w:rFonts w:cs="Arial"/>
        <w:sz w:val="20"/>
        <w:szCs w:val="20"/>
        <w:u w:val="single"/>
      </w:rPr>
      <w:t xml:space="preserve">Segon </w:t>
    </w:r>
    <w:r w:rsidRPr="006E46F0">
      <w:rPr>
        <w:rFonts w:cs="Arial"/>
        <w:sz w:val="20"/>
        <w:szCs w:val="20"/>
        <w:u w:val="single"/>
      </w:rPr>
      <w:t>Informe sobre l’evolució de les Desigualtats Socials a Catalunya</w:t>
    </w:r>
  </w:p>
  <w:p w:rsidR="00C44ECB" w:rsidRDefault="00C44EC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CB" w:rsidRPr="006E46F0" w:rsidRDefault="00C44ECB" w:rsidP="00374B21">
    <w:pPr>
      <w:spacing w:after="0"/>
      <w:jc w:val="right"/>
      <w:rPr>
        <w:rFonts w:cs="Arial"/>
        <w:sz w:val="20"/>
        <w:szCs w:val="20"/>
        <w:u w:val="single"/>
      </w:rPr>
    </w:pPr>
    <w:r>
      <w:rPr>
        <w:rFonts w:cs="Arial"/>
        <w:sz w:val="20"/>
        <w:szCs w:val="20"/>
        <w:u w:val="single"/>
      </w:rPr>
      <w:t xml:space="preserve">Segon </w:t>
    </w:r>
    <w:r w:rsidRPr="006E46F0">
      <w:rPr>
        <w:rFonts w:cs="Arial"/>
        <w:sz w:val="20"/>
        <w:szCs w:val="20"/>
        <w:u w:val="single"/>
      </w:rPr>
      <w:t>Informe sobre l’evolució de les Desigualtats Socials a Catalunya</w:t>
    </w:r>
  </w:p>
  <w:p w:rsidR="00C44ECB" w:rsidRDefault="00C44ECB" w:rsidP="006E46F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CB" w:rsidRDefault="00C44ECB" w:rsidP="00590F0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104"/>
    <w:multiLevelType w:val="hybridMultilevel"/>
    <w:tmpl w:val="6242EF4C"/>
    <w:lvl w:ilvl="0" w:tplc="0403000F">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B137721"/>
    <w:multiLevelType w:val="hybridMultilevel"/>
    <w:tmpl w:val="3AD8BCE8"/>
    <w:lvl w:ilvl="0" w:tplc="A65CB3CA">
      <w:numFmt w:val="decimal"/>
      <w:lvlText w:val="%1."/>
      <w:lvlJc w:val="left"/>
      <w:pPr>
        <w:ind w:left="720" w:hanging="360"/>
      </w:pPr>
      <w:rPr>
        <w:rFonts w:hint="default"/>
        <w:b/>
        <w:sz w:val="28"/>
        <w:szCs w:val="2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C7817B8"/>
    <w:multiLevelType w:val="multilevel"/>
    <w:tmpl w:val="D58E50F4"/>
    <w:lvl w:ilvl="0">
      <w:start w:val="5"/>
      <w:numFmt w:val="decimal"/>
      <w:lvlText w:val="%1."/>
      <w:lvlJc w:val="left"/>
      <w:pPr>
        <w:ind w:left="720" w:hanging="360"/>
      </w:pPr>
      <w:rPr>
        <w:rFonts w:hint="default"/>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F74D95"/>
    <w:multiLevelType w:val="hybridMultilevel"/>
    <w:tmpl w:val="2196EDAC"/>
    <w:lvl w:ilvl="0" w:tplc="0403000F">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8FE6CB4"/>
    <w:multiLevelType w:val="multilevel"/>
    <w:tmpl w:val="F0F80270"/>
    <w:lvl w:ilvl="0">
      <w:start w:val="3"/>
      <w:numFmt w:val="decimal"/>
      <w:lvlText w:val="%1."/>
      <w:lvlJc w:val="left"/>
      <w:pPr>
        <w:ind w:left="720" w:hanging="360"/>
      </w:pPr>
      <w:rPr>
        <w:rFonts w:hint="default"/>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FF2B24"/>
    <w:multiLevelType w:val="multilevel"/>
    <w:tmpl w:val="59D23A2C"/>
    <w:lvl w:ilvl="0">
      <w:start w:val="7"/>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5316F41"/>
    <w:multiLevelType w:val="multilevel"/>
    <w:tmpl w:val="B1048918"/>
    <w:lvl w:ilvl="0">
      <w:start w:val="7"/>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74F3B3F"/>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C73346"/>
    <w:multiLevelType w:val="multilevel"/>
    <w:tmpl w:val="615A1B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CA51F3F"/>
    <w:multiLevelType w:val="multilevel"/>
    <w:tmpl w:val="02C6B7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7A650B1"/>
    <w:multiLevelType w:val="multilevel"/>
    <w:tmpl w:val="D04ED478"/>
    <w:lvl w:ilvl="0">
      <w:start w:val="4"/>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D3D410D"/>
    <w:multiLevelType w:val="hybridMultilevel"/>
    <w:tmpl w:val="FA009190"/>
    <w:lvl w:ilvl="0" w:tplc="0403000F">
      <w:start w:val="8"/>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6934468F"/>
    <w:multiLevelType w:val="hybridMultilevel"/>
    <w:tmpl w:val="3DB47212"/>
    <w:lvl w:ilvl="0" w:tplc="3DF0B41C">
      <w:numFmt w:val="bullet"/>
      <w:lvlText w:val="-"/>
      <w:lvlJc w:val="left"/>
      <w:pPr>
        <w:ind w:left="927" w:hanging="360"/>
      </w:pPr>
      <w:rPr>
        <w:rFonts w:ascii="Arial" w:eastAsia="Calibri" w:hAnsi="Arial" w:cs="Arial" w:hint="default"/>
      </w:rPr>
    </w:lvl>
    <w:lvl w:ilvl="1" w:tplc="04030003" w:tentative="1">
      <w:start w:val="1"/>
      <w:numFmt w:val="bullet"/>
      <w:lvlText w:val="o"/>
      <w:lvlJc w:val="left"/>
      <w:pPr>
        <w:ind w:left="1470" w:hanging="360"/>
      </w:pPr>
      <w:rPr>
        <w:rFonts w:ascii="Courier New" w:hAnsi="Courier New" w:cs="Courier New" w:hint="default"/>
      </w:rPr>
    </w:lvl>
    <w:lvl w:ilvl="2" w:tplc="04030005" w:tentative="1">
      <w:start w:val="1"/>
      <w:numFmt w:val="bullet"/>
      <w:lvlText w:val=""/>
      <w:lvlJc w:val="left"/>
      <w:pPr>
        <w:ind w:left="2190" w:hanging="360"/>
      </w:pPr>
      <w:rPr>
        <w:rFonts w:ascii="Wingdings" w:hAnsi="Wingdings" w:hint="default"/>
      </w:rPr>
    </w:lvl>
    <w:lvl w:ilvl="3" w:tplc="04030001" w:tentative="1">
      <w:start w:val="1"/>
      <w:numFmt w:val="bullet"/>
      <w:lvlText w:val=""/>
      <w:lvlJc w:val="left"/>
      <w:pPr>
        <w:ind w:left="2910" w:hanging="360"/>
      </w:pPr>
      <w:rPr>
        <w:rFonts w:ascii="Symbol" w:hAnsi="Symbol" w:hint="default"/>
      </w:rPr>
    </w:lvl>
    <w:lvl w:ilvl="4" w:tplc="04030003" w:tentative="1">
      <w:start w:val="1"/>
      <w:numFmt w:val="bullet"/>
      <w:lvlText w:val="o"/>
      <w:lvlJc w:val="left"/>
      <w:pPr>
        <w:ind w:left="3630" w:hanging="360"/>
      </w:pPr>
      <w:rPr>
        <w:rFonts w:ascii="Courier New" w:hAnsi="Courier New" w:cs="Courier New" w:hint="default"/>
      </w:rPr>
    </w:lvl>
    <w:lvl w:ilvl="5" w:tplc="04030005" w:tentative="1">
      <w:start w:val="1"/>
      <w:numFmt w:val="bullet"/>
      <w:lvlText w:val=""/>
      <w:lvlJc w:val="left"/>
      <w:pPr>
        <w:ind w:left="4350" w:hanging="360"/>
      </w:pPr>
      <w:rPr>
        <w:rFonts w:ascii="Wingdings" w:hAnsi="Wingdings" w:hint="default"/>
      </w:rPr>
    </w:lvl>
    <w:lvl w:ilvl="6" w:tplc="04030001" w:tentative="1">
      <w:start w:val="1"/>
      <w:numFmt w:val="bullet"/>
      <w:lvlText w:val=""/>
      <w:lvlJc w:val="left"/>
      <w:pPr>
        <w:ind w:left="5070" w:hanging="360"/>
      </w:pPr>
      <w:rPr>
        <w:rFonts w:ascii="Symbol" w:hAnsi="Symbol" w:hint="default"/>
      </w:rPr>
    </w:lvl>
    <w:lvl w:ilvl="7" w:tplc="04030003" w:tentative="1">
      <w:start w:val="1"/>
      <w:numFmt w:val="bullet"/>
      <w:lvlText w:val="o"/>
      <w:lvlJc w:val="left"/>
      <w:pPr>
        <w:ind w:left="5790" w:hanging="360"/>
      </w:pPr>
      <w:rPr>
        <w:rFonts w:ascii="Courier New" w:hAnsi="Courier New" w:cs="Courier New" w:hint="default"/>
      </w:rPr>
    </w:lvl>
    <w:lvl w:ilvl="8" w:tplc="04030005" w:tentative="1">
      <w:start w:val="1"/>
      <w:numFmt w:val="bullet"/>
      <w:lvlText w:val=""/>
      <w:lvlJc w:val="left"/>
      <w:pPr>
        <w:ind w:left="6510" w:hanging="360"/>
      </w:pPr>
      <w:rPr>
        <w:rFonts w:ascii="Wingdings" w:hAnsi="Wingdings" w:hint="default"/>
      </w:rPr>
    </w:lvl>
  </w:abstractNum>
  <w:abstractNum w:abstractNumId="13">
    <w:nsid w:val="6AB020B4"/>
    <w:multiLevelType w:val="hybridMultilevel"/>
    <w:tmpl w:val="819E3220"/>
    <w:lvl w:ilvl="0" w:tplc="374EF29A">
      <w:start w:val="5"/>
      <w:numFmt w:val="decimal"/>
      <w:lvlText w:val="%1."/>
      <w:lvlJc w:val="left"/>
      <w:pPr>
        <w:ind w:left="928" w:hanging="360"/>
      </w:pPr>
      <w:rPr>
        <w:rFonts w:hint="default"/>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0"/>
  </w:num>
  <w:num w:numId="6">
    <w:abstractNumId w:val="2"/>
  </w:num>
  <w:num w:numId="7">
    <w:abstractNumId w:val="8"/>
  </w:num>
  <w:num w:numId="8">
    <w:abstractNumId w:val="3"/>
  </w:num>
  <w:num w:numId="9">
    <w:abstractNumId w:val="0"/>
  </w:num>
  <w:num w:numId="10">
    <w:abstractNumId w:val="5"/>
  </w:num>
  <w:num w:numId="11">
    <w:abstractNumId w:val="12"/>
  </w:num>
  <w:num w:numId="12">
    <w:abstractNumId w:val="13"/>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8D"/>
    <w:rsid w:val="00001F63"/>
    <w:rsid w:val="00007822"/>
    <w:rsid w:val="0001032B"/>
    <w:rsid w:val="000103A0"/>
    <w:rsid w:val="00014528"/>
    <w:rsid w:val="00014E78"/>
    <w:rsid w:val="00016E82"/>
    <w:rsid w:val="00017072"/>
    <w:rsid w:val="00017531"/>
    <w:rsid w:val="00017A43"/>
    <w:rsid w:val="00020323"/>
    <w:rsid w:val="00020DCB"/>
    <w:rsid w:val="00021025"/>
    <w:rsid w:val="00025D90"/>
    <w:rsid w:val="00027DF3"/>
    <w:rsid w:val="00030D01"/>
    <w:rsid w:val="00032C75"/>
    <w:rsid w:val="000348E5"/>
    <w:rsid w:val="0003520C"/>
    <w:rsid w:val="000356BB"/>
    <w:rsid w:val="00035F53"/>
    <w:rsid w:val="00036C6B"/>
    <w:rsid w:val="00043805"/>
    <w:rsid w:val="00043E1D"/>
    <w:rsid w:val="000511E8"/>
    <w:rsid w:val="000527C2"/>
    <w:rsid w:val="00054263"/>
    <w:rsid w:val="0005475C"/>
    <w:rsid w:val="000551E4"/>
    <w:rsid w:val="000554C4"/>
    <w:rsid w:val="000559D3"/>
    <w:rsid w:val="000578A1"/>
    <w:rsid w:val="00063866"/>
    <w:rsid w:val="00064089"/>
    <w:rsid w:val="0006584F"/>
    <w:rsid w:val="00065A23"/>
    <w:rsid w:val="00072897"/>
    <w:rsid w:val="00072B34"/>
    <w:rsid w:val="0007426B"/>
    <w:rsid w:val="00074B49"/>
    <w:rsid w:val="000905AF"/>
    <w:rsid w:val="000957F6"/>
    <w:rsid w:val="00096D0F"/>
    <w:rsid w:val="000A0A64"/>
    <w:rsid w:val="000A0CA1"/>
    <w:rsid w:val="000A13F5"/>
    <w:rsid w:val="000A217C"/>
    <w:rsid w:val="000A56EF"/>
    <w:rsid w:val="000B01FE"/>
    <w:rsid w:val="000B031D"/>
    <w:rsid w:val="000B2E5D"/>
    <w:rsid w:val="000B67E7"/>
    <w:rsid w:val="000C08BD"/>
    <w:rsid w:val="000C0CEA"/>
    <w:rsid w:val="000C122A"/>
    <w:rsid w:val="000C75A7"/>
    <w:rsid w:val="000C782B"/>
    <w:rsid w:val="000D03AA"/>
    <w:rsid w:val="000D199D"/>
    <w:rsid w:val="000D3AA7"/>
    <w:rsid w:val="000D62AE"/>
    <w:rsid w:val="000E24D0"/>
    <w:rsid w:val="000E3082"/>
    <w:rsid w:val="000E39FD"/>
    <w:rsid w:val="000E4917"/>
    <w:rsid w:val="000E56BC"/>
    <w:rsid w:val="000E7970"/>
    <w:rsid w:val="000F0B37"/>
    <w:rsid w:val="000F1914"/>
    <w:rsid w:val="000F504C"/>
    <w:rsid w:val="000F5AEA"/>
    <w:rsid w:val="00100372"/>
    <w:rsid w:val="00110043"/>
    <w:rsid w:val="00112079"/>
    <w:rsid w:val="00112DF3"/>
    <w:rsid w:val="00117AED"/>
    <w:rsid w:val="00124C99"/>
    <w:rsid w:val="00130C17"/>
    <w:rsid w:val="001341E1"/>
    <w:rsid w:val="0013494F"/>
    <w:rsid w:val="00136B4A"/>
    <w:rsid w:val="00137134"/>
    <w:rsid w:val="001419A9"/>
    <w:rsid w:val="0014565D"/>
    <w:rsid w:val="00151074"/>
    <w:rsid w:val="0015295C"/>
    <w:rsid w:val="001560AE"/>
    <w:rsid w:val="00157FA5"/>
    <w:rsid w:val="00162B51"/>
    <w:rsid w:val="001637F4"/>
    <w:rsid w:val="001639A7"/>
    <w:rsid w:val="00166558"/>
    <w:rsid w:val="001712F5"/>
    <w:rsid w:val="00171A2B"/>
    <w:rsid w:val="00176654"/>
    <w:rsid w:val="00177060"/>
    <w:rsid w:val="00186F76"/>
    <w:rsid w:val="00187484"/>
    <w:rsid w:val="00192E64"/>
    <w:rsid w:val="00194F48"/>
    <w:rsid w:val="0019617D"/>
    <w:rsid w:val="001B4460"/>
    <w:rsid w:val="001B48DE"/>
    <w:rsid w:val="001B5141"/>
    <w:rsid w:val="001B53A6"/>
    <w:rsid w:val="001B6D9B"/>
    <w:rsid w:val="001B6E21"/>
    <w:rsid w:val="001C137D"/>
    <w:rsid w:val="001C6D58"/>
    <w:rsid w:val="001D07A8"/>
    <w:rsid w:val="001D1F50"/>
    <w:rsid w:val="001D2DB2"/>
    <w:rsid w:val="001D3778"/>
    <w:rsid w:val="001E1AFD"/>
    <w:rsid w:val="001E3A25"/>
    <w:rsid w:val="001E5C72"/>
    <w:rsid w:val="001F2B79"/>
    <w:rsid w:val="001F43A1"/>
    <w:rsid w:val="001F562E"/>
    <w:rsid w:val="002003F1"/>
    <w:rsid w:val="00200B9B"/>
    <w:rsid w:val="002046C0"/>
    <w:rsid w:val="00205352"/>
    <w:rsid w:val="00207210"/>
    <w:rsid w:val="002115AD"/>
    <w:rsid w:val="0021392B"/>
    <w:rsid w:val="00213B17"/>
    <w:rsid w:val="00214200"/>
    <w:rsid w:val="0021466E"/>
    <w:rsid w:val="0021637D"/>
    <w:rsid w:val="00220E83"/>
    <w:rsid w:val="00221E5B"/>
    <w:rsid w:val="00227937"/>
    <w:rsid w:val="00234127"/>
    <w:rsid w:val="00243C2A"/>
    <w:rsid w:val="00244EEF"/>
    <w:rsid w:val="002477EE"/>
    <w:rsid w:val="00250AA9"/>
    <w:rsid w:val="00255234"/>
    <w:rsid w:val="00264B88"/>
    <w:rsid w:val="00265D98"/>
    <w:rsid w:val="00266A4F"/>
    <w:rsid w:val="00266C7A"/>
    <w:rsid w:val="00267E8D"/>
    <w:rsid w:val="00274A95"/>
    <w:rsid w:val="00276331"/>
    <w:rsid w:val="002861F5"/>
    <w:rsid w:val="00290238"/>
    <w:rsid w:val="00290F71"/>
    <w:rsid w:val="00291152"/>
    <w:rsid w:val="0029760B"/>
    <w:rsid w:val="002A1E3B"/>
    <w:rsid w:val="002A31F2"/>
    <w:rsid w:val="002A36D1"/>
    <w:rsid w:val="002A4664"/>
    <w:rsid w:val="002A493A"/>
    <w:rsid w:val="002A615A"/>
    <w:rsid w:val="002A686D"/>
    <w:rsid w:val="002A6D87"/>
    <w:rsid w:val="002A6E9B"/>
    <w:rsid w:val="002A7658"/>
    <w:rsid w:val="002A7DD1"/>
    <w:rsid w:val="002B086B"/>
    <w:rsid w:val="002B221D"/>
    <w:rsid w:val="002B2827"/>
    <w:rsid w:val="002B5FC8"/>
    <w:rsid w:val="002B6D45"/>
    <w:rsid w:val="002C4DBF"/>
    <w:rsid w:val="002C537A"/>
    <w:rsid w:val="002C64A1"/>
    <w:rsid w:val="002D1173"/>
    <w:rsid w:val="002D1EA9"/>
    <w:rsid w:val="002D25F8"/>
    <w:rsid w:val="002D3A25"/>
    <w:rsid w:val="002E026F"/>
    <w:rsid w:val="002E0A7E"/>
    <w:rsid w:val="002E1D19"/>
    <w:rsid w:val="002E1E3F"/>
    <w:rsid w:val="002E34E7"/>
    <w:rsid w:val="002E35AC"/>
    <w:rsid w:val="002E4565"/>
    <w:rsid w:val="002E6BFD"/>
    <w:rsid w:val="002F344E"/>
    <w:rsid w:val="002F55CC"/>
    <w:rsid w:val="002F6D36"/>
    <w:rsid w:val="00301318"/>
    <w:rsid w:val="00301E77"/>
    <w:rsid w:val="003035C7"/>
    <w:rsid w:val="003045C9"/>
    <w:rsid w:val="00304ADC"/>
    <w:rsid w:val="003055C0"/>
    <w:rsid w:val="0030684F"/>
    <w:rsid w:val="00311081"/>
    <w:rsid w:val="00311460"/>
    <w:rsid w:val="003164BE"/>
    <w:rsid w:val="00316E0B"/>
    <w:rsid w:val="00317240"/>
    <w:rsid w:val="0032094E"/>
    <w:rsid w:val="00322ECA"/>
    <w:rsid w:val="00323DE9"/>
    <w:rsid w:val="00324148"/>
    <w:rsid w:val="00324343"/>
    <w:rsid w:val="003267D6"/>
    <w:rsid w:val="0033077F"/>
    <w:rsid w:val="003323E2"/>
    <w:rsid w:val="003374EF"/>
    <w:rsid w:val="00337ACE"/>
    <w:rsid w:val="0034150C"/>
    <w:rsid w:val="0034264F"/>
    <w:rsid w:val="00343B4C"/>
    <w:rsid w:val="00343D16"/>
    <w:rsid w:val="0034572A"/>
    <w:rsid w:val="00346109"/>
    <w:rsid w:val="003507FA"/>
    <w:rsid w:val="00355124"/>
    <w:rsid w:val="00355A79"/>
    <w:rsid w:val="00360D0B"/>
    <w:rsid w:val="00361041"/>
    <w:rsid w:val="003613A0"/>
    <w:rsid w:val="00361D70"/>
    <w:rsid w:val="00366CAB"/>
    <w:rsid w:val="003673E6"/>
    <w:rsid w:val="00367AFF"/>
    <w:rsid w:val="00370093"/>
    <w:rsid w:val="00371AF8"/>
    <w:rsid w:val="00374B21"/>
    <w:rsid w:val="003766FD"/>
    <w:rsid w:val="00376820"/>
    <w:rsid w:val="003800B6"/>
    <w:rsid w:val="00382862"/>
    <w:rsid w:val="00382A77"/>
    <w:rsid w:val="00384853"/>
    <w:rsid w:val="00385927"/>
    <w:rsid w:val="0038622F"/>
    <w:rsid w:val="00390F01"/>
    <w:rsid w:val="003912DC"/>
    <w:rsid w:val="0039140C"/>
    <w:rsid w:val="00392029"/>
    <w:rsid w:val="00392B22"/>
    <w:rsid w:val="0039529B"/>
    <w:rsid w:val="0039553C"/>
    <w:rsid w:val="00397EC9"/>
    <w:rsid w:val="00397FE5"/>
    <w:rsid w:val="003A3299"/>
    <w:rsid w:val="003A4101"/>
    <w:rsid w:val="003A6042"/>
    <w:rsid w:val="003A694C"/>
    <w:rsid w:val="003A69BF"/>
    <w:rsid w:val="003A6ACB"/>
    <w:rsid w:val="003B6432"/>
    <w:rsid w:val="003C176A"/>
    <w:rsid w:val="003C2072"/>
    <w:rsid w:val="003C5F81"/>
    <w:rsid w:val="003D1232"/>
    <w:rsid w:val="003D14EE"/>
    <w:rsid w:val="003D1D55"/>
    <w:rsid w:val="003D2EB7"/>
    <w:rsid w:val="003D33BE"/>
    <w:rsid w:val="003D733D"/>
    <w:rsid w:val="003D7B0B"/>
    <w:rsid w:val="003E3392"/>
    <w:rsid w:val="003E42DA"/>
    <w:rsid w:val="003E5B35"/>
    <w:rsid w:val="003E74F7"/>
    <w:rsid w:val="003F071D"/>
    <w:rsid w:val="003F3182"/>
    <w:rsid w:val="0040223C"/>
    <w:rsid w:val="00405C1F"/>
    <w:rsid w:val="0040613F"/>
    <w:rsid w:val="00406614"/>
    <w:rsid w:val="00406837"/>
    <w:rsid w:val="004113E1"/>
    <w:rsid w:val="00411F2F"/>
    <w:rsid w:val="00412AF4"/>
    <w:rsid w:val="00415B3C"/>
    <w:rsid w:val="004161B3"/>
    <w:rsid w:val="00417A95"/>
    <w:rsid w:val="00420FF1"/>
    <w:rsid w:val="00421521"/>
    <w:rsid w:val="00422AC0"/>
    <w:rsid w:val="00424724"/>
    <w:rsid w:val="00427323"/>
    <w:rsid w:val="00432815"/>
    <w:rsid w:val="004354D1"/>
    <w:rsid w:val="00436335"/>
    <w:rsid w:val="00440A21"/>
    <w:rsid w:val="004426C5"/>
    <w:rsid w:val="00444967"/>
    <w:rsid w:val="00446827"/>
    <w:rsid w:val="004479B6"/>
    <w:rsid w:val="004506E1"/>
    <w:rsid w:val="004508B6"/>
    <w:rsid w:val="00451678"/>
    <w:rsid w:val="0045681D"/>
    <w:rsid w:val="00461825"/>
    <w:rsid w:val="004649C4"/>
    <w:rsid w:val="004711B9"/>
    <w:rsid w:val="004725F3"/>
    <w:rsid w:val="00473CFD"/>
    <w:rsid w:val="00475075"/>
    <w:rsid w:val="004776AF"/>
    <w:rsid w:val="00481F89"/>
    <w:rsid w:val="00487654"/>
    <w:rsid w:val="00487A89"/>
    <w:rsid w:val="00496C82"/>
    <w:rsid w:val="00496C84"/>
    <w:rsid w:val="00497A1C"/>
    <w:rsid w:val="00497B42"/>
    <w:rsid w:val="004A0898"/>
    <w:rsid w:val="004A0C97"/>
    <w:rsid w:val="004A1164"/>
    <w:rsid w:val="004A2830"/>
    <w:rsid w:val="004A72FF"/>
    <w:rsid w:val="004B04C1"/>
    <w:rsid w:val="004B08FF"/>
    <w:rsid w:val="004B1CFF"/>
    <w:rsid w:val="004B2C33"/>
    <w:rsid w:val="004B3366"/>
    <w:rsid w:val="004B36E1"/>
    <w:rsid w:val="004B46F7"/>
    <w:rsid w:val="004B5B06"/>
    <w:rsid w:val="004B7AAC"/>
    <w:rsid w:val="004B7EFC"/>
    <w:rsid w:val="004C3EEA"/>
    <w:rsid w:val="004C485F"/>
    <w:rsid w:val="004C6A32"/>
    <w:rsid w:val="004D068F"/>
    <w:rsid w:val="004D0A78"/>
    <w:rsid w:val="004D5BEC"/>
    <w:rsid w:val="004D6D52"/>
    <w:rsid w:val="004E4499"/>
    <w:rsid w:val="004E4E66"/>
    <w:rsid w:val="004E5AA8"/>
    <w:rsid w:val="004F28BE"/>
    <w:rsid w:val="004F2ED9"/>
    <w:rsid w:val="004F310F"/>
    <w:rsid w:val="004F37A7"/>
    <w:rsid w:val="004F4E22"/>
    <w:rsid w:val="004F51AF"/>
    <w:rsid w:val="004F6875"/>
    <w:rsid w:val="004F7028"/>
    <w:rsid w:val="004F7BCA"/>
    <w:rsid w:val="0050033A"/>
    <w:rsid w:val="00503209"/>
    <w:rsid w:val="005133BB"/>
    <w:rsid w:val="00513B5A"/>
    <w:rsid w:val="00516330"/>
    <w:rsid w:val="00516D6F"/>
    <w:rsid w:val="00516FBB"/>
    <w:rsid w:val="00520068"/>
    <w:rsid w:val="00520AD2"/>
    <w:rsid w:val="00522453"/>
    <w:rsid w:val="00525213"/>
    <w:rsid w:val="0052777D"/>
    <w:rsid w:val="00531705"/>
    <w:rsid w:val="00533FBB"/>
    <w:rsid w:val="00534608"/>
    <w:rsid w:val="0053513B"/>
    <w:rsid w:val="005378A7"/>
    <w:rsid w:val="00541A6F"/>
    <w:rsid w:val="00542208"/>
    <w:rsid w:val="005433B7"/>
    <w:rsid w:val="005452DC"/>
    <w:rsid w:val="005454F5"/>
    <w:rsid w:val="0054715D"/>
    <w:rsid w:val="00547189"/>
    <w:rsid w:val="00551F38"/>
    <w:rsid w:val="00552543"/>
    <w:rsid w:val="00556E6C"/>
    <w:rsid w:val="005634C6"/>
    <w:rsid w:val="00566972"/>
    <w:rsid w:val="00574C46"/>
    <w:rsid w:val="00574DE8"/>
    <w:rsid w:val="00576D36"/>
    <w:rsid w:val="00586CD9"/>
    <w:rsid w:val="00586E54"/>
    <w:rsid w:val="00590F01"/>
    <w:rsid w:val="00592786"/>
    <w:rsid w:val="00593AD1"/>
    <w:rsid w:val="00594001"/>
    <w:rsid w:val="00594012"/>
    <w:rsid w:val="00594555"/>
    <w:rsid w:val="00594ED7"/>
    <w:rsid w:val="00595C83"/>
    <w:rsid w:val="005A4E59"/>
    <w:rsid w:val="005B1195"/>
    <w:rsid w:val="005B1ECD"/>
    <w:rsid w:val="005B700F"/>
    <w:rsid w:val="005C20CB"/>
    <w:rsid w:val="005C3833"/>
    <w:rsid w:val="005C53D6"/>
    <w:rsid w:val="005C6303"/>
    <w:rsid w:val="005C63C2"/>
    <w:rsid w:val="005D275D"/>
    <w:rsid w:val="005D2F35"/>
    <w:rsid w:val="005D4CBA"/>
    <w:rsid w:val="005D4CCC"/>
    <w:rsid w:val="005D626B"/>
    <w:rsid w:val="005D7372"/>
    <w:rsid w:val="005D7847"/>
    <w:rsid w:val="005E1903"/>
    <w:rsid w:val="005E23E4"/>
    <w:rsid w:val="005E6920"/>
    <w:rsid w:val="005E6EDF"/>
    <w:rsid w:val="005E7F67"/>
    <w:rsid w:val="005F3B61"/>
    <w:rsid w:val="005F5D63"/>
    <w:rsid w:val="005F6592"/>
    <w:rsid w:val="005F6D05"/>
    <w:rsid w:val="00600441"/>
    <w:rsid w:val="00615977"/>
    <w:rsid w:val="00621E47"/>
    <w:rsid w:val="0062650A"/>
    <w:rsid w:val="00626551"/>
    <w:rsid w:val="00630224"/>
    <w:rsid w:val="00630693"/>
    <w:rsid w:val="00632624"/>
    <w:rsid w:val="00632B7E"/>
    <w:rsid w:val="0063533B"/>
    <w:rsid w:val="00636D8B"/>
    <w:rsid w:val="006513C1"/>
    <w:rsid w:val="006533B7"/>
    <w:rsid w:val="00653D55"/>
    <w:rsid w:val="00654F96"/>
    <w:rsid w:val="00657864"/>
    <w:rsid w:val="00661FDB"/>
    <w:rsid w:val="0066252B"/>
    <w:rsid w:val="00662B7B"/>
    <w:rsid w:val="00665CE2"/>
    <w:rsid w:val="0067010F"/>
    <w:rsid w:val="006729E8"/>
    <w:rsid w:val="00673AD4"/>
    <w:rsid w:val="00675FA1"/>
    <w:rsid w:val="0068012F"/>
    <w:rsid w:val="006836D2"/>
    <w:rsid w:val="00683D9E"/>
    <w:rsid w:val="00684F98"/>
    <w:rsid w:val="00685245"/>
    <w:rsid w:val="00685EF1"/>
    <w:rsid w:val="006872BD"/>
    <w:rsid w:val="00687C45"/>
    <w:rsid w:val="00687CCC"/>
    <w:rsid w:val="0069213C"/>
    <w:rsid w:val="00692529"/>
    <w:rsid w:val="006930E7"/>
    <w:rsid w:val="00694554"/>
    <w:rsid w:val="00694F3B"/>
    <w:rsid w:val="00696E98"/>
    <w:rsid w:val="006A0DB1"/>
    <w:rsid w:val="006A2DD6"/>
    <w:rsid w:val="006A3DB1"/>
    <w:rsid w:val="006A4330"/>
    <w:rsid w:val="006A6EF0"/>
    <w:rsid w:val="006A715E"/>
    <w:rsid w:val="006B0E16"/>
    <w:rsid w:val="006B1EC1"/>
    <w:rsid w:val="006B3879"/>
    <w:rsid w:val="006B5EDA"/>
    <w:rsid w:val="006C2D13"/>
    <w:rsid w:val="006C37E9"/>
    <w:rsid w:val="006C3D32"/>
    <w:rsid w:val="006C41ED"/>
    <w:rsid w:val="006C4B4B"/>
    <w:rsid w:val="006C4EEC"/>
    <w:rsid w:val="006C556E"/>
    <w:rsid w:val="006D2D6A"/>
    <w:rsid w:val="006D311A"/>
    <w:rsid w:val="006D6FAD"/>
    <w:rsid w:val="006E46F0"/>
    <w:rsid w:val="006F4FBF"/>
    <w:rsid w:val="006F5AE8"/>
    <w:rsid w:val="006F6DF1"/>
    <w:rsid w:val="00700C7F"/>
    <w:rsid w:val="007011F1"/>
    <w:rsid w:val="00701324"/>
    <w:rsid w:val="0070150B"/>
    <w:rsid w:val="007017CB"/>
    <w:rsid w:val="00705A8A"/>
    <w:rsid w:val="00705BDB"/>
    <w:rsid w:val="00705F84"/>
    <w:rsid w:val="007065F1"/>
    <w:rsid w:val="007066D0"/>
    <w:rsid w:val="00707DDA"/>
    <w:rsid w:val="00710B66"/>
    <w:rsid w:val="00710CBB"/>
    <w:rsid w:val="0071260F"/>
    <w:rsid w:val="00714EF2"/>
    <w:rsid w:val="00715108"/>
    <w:rsid w:val="007172F6"/>
    <w:rsid w:val="00717658"/>
    <w:rsid w:val="00720260"/>
    <w:rsid w:val="00727D4B"/>
    <w:rsid w:val="007318FC"/>
    <w:rsid w:val="0073279C"/>
    <w:rsid w:val="007329AE"/>
    <w:rsid w:val="00732A95"/>
    <w:rsid w:val="00734A08"/>
    <w:rsid w:val="00737D4D"/>
    <w:rsid w:val="007420DD"/>
    <w:rsid w:val="0074411D"/>
    <w:rsid w:val="00744C93"/>
    <w:rsid w:val="00752806"/>
    <w:rsid w:val="00752DF8"/>
    <w:rsid w:val="00761254"/>
    <w:rsid w:val="00763A1B"/>
    <w:rsid w:val="00766D24"/>
    <w:rsid w:val="00770C57"/>
    <w:rsid w:val="007715C8"/>
    <w:rsid w:val="00775DD0"/>
    <w:rsid w:val="0078223A"/>
    <w:rsid w:val="007828E7"/>
    <w:rsid w:val="00783712"/>
    <w:rsid w:val="007911AC"/>
    <w:rsid w:val="007932F9"/>
    <w:rsid w:val="00795021"/>
    <w:rsid w:val="007A21B9"/>
    <w:rsid w:val="007A28E4"/>
    <w:rsid w:val="007A36A5"/>
    <w:rsid w:val="007B18A9"/>
    <w:rsid w:val="007B2514"/>
    <w:rsid w:val="007C184F"/>
    <w:rsid w:val="007C3D64"/>
    <w:rsid w:val="007C3F33"/>
    <w:rsid w:val="007D0D7D"/>
    <w:rsid w:val="007E1815"/>
    <w:rsid w:val="007E2B67"/>
    <w:rsid w:val="007F0176"/>
    <w:rsid w:val="007F0F2D"/>
    <w:rsid w:val="007F507B"/>
    <w:rsid w:val="0080121F"/>
    <w:rsid w:val="00801B4F"/>
    <w:rsid w:val="0080380D"/>
    <w:rsid w:val="0080392A"/>
    <w:rsid w:val="00804753"/>
    <w:rsid w:val="00804B0E"/>
    <w:rsid w:val="00807AF4"/>
    <w:rsid w:val="008136C2"/>
    <w:rsid w:val="0081541B"/>
    <w:rsid w:val="00815CD6"/>
    <w:rsid w:val="00820FBC"/>
    <w:rsid w:val="0082188F"/>
    <w:rsid w:val="0082530A"/>
    <w:rsid w:val="00825B76"/>
    <w:rsid w:val="00833CA8"/>
    <w:rsid w:val="008343CA"/>
    <w:rsid w:val="00841031"/>
    <w:rsid w:val="00845060"/>
    <w:rsid w:val="008458D0"/>
    <w:rsid w:val="008506DB"/>
    <w:rsid w:val="00850C55"/>
    <w:rsid w:val="008533F6"/>
    <w:rsid w:val="00854306"/>
    <w:rsid w:val="00854FA5"/>
    <w:rsid w:val="00855267"/>
    <w:rsid w:val="00860B4F"/>
    <w:rsid w:val="00861789"/>
    <w:rsid w:val="00866337"/>
    <w:rsid w:val="008764DE"/>
    <w:rsid w:val="00877447"/>
    <w:rsid w:val="008802C7"/>
    <w:rsid w:val="008805E5"/>
    <w:rsid w:val="00882B6E"/>
    <w:rsid w:val="00883893"/>
    <w:rsid w:val="0088503F"/>
    <w:rsid w:val="0088689E"/>
    <w:rsid w:val="00892CE5"/>
    <w:rsid w:val="00894007"/>
    <w:rsid w:val="008A0EE3"/>
    <w:rsid w:val="008A3CDD"/>
    <w:rsid w:val="008A43E2"/>
    <w:rsid w:val="008A5309"/>
    <w:rsid w:val="008A5F9C"/>
    <w:rsid w:val="008A67D9"/>
    <w:rsid w:val="008B0976"/>
    <w:rsid w:val="008B2D0A"/>
    <w:rsid w:val="008B2E0F"/>
    <w:rsid w:val="008B6332"/>
    <w:rsid w:val="008B7DE8"/>
    <w:rsid w:val="008C25C3"/>
    <w:rsid w:val="008C33E8"/>
    <w:rsid w:val="008D22AF"/>
    <w:rsid w:val="008D26EF"/>
    <w:rsid w:val="008D6EF9"/>
    <w:rsid w:val="008E1C35"/>
    <w:rsid w:val="008E2A89"/>
    <w:rsid w:val="008E324B"/>
    <w:rsid w:val="008E3F37"/>
    <w:rsid w:val="008F20A0"/>
    <w:rsid w:val="008F2BB4"/>
    <w:rsid w:val="008F3367"/>
    <w:rsid w:val="008F52B4"/>
    <w:rsid w:val="009002FE"/>
    <w:rsid w:val="00901A72"/>
    <w:rsid w:val="00902119"/>
    <w:rsid w:val="00902470"/>
    <w:rsid w:val="0090361A"/>
    <w:rsid w:val="0090495A"/>
    <w:rsid w:val="0090644B"/>
    <w:rsid w:val="00910468"/>
    <w:rsid w:val="00911CE4"/>
    <w:rsid w:val="00916B89"/>
    <w:rsid w:val="00922653"/>
    <w:rsid w:val="00922BCE"/>
    <w:rsid w:val="00923014"/>
    <w:rsid w:val="00923FD0"/>
    <w:rsid w:val="00924366"/>
    <w:rsid w:val="00931C90"/>
    <w:rsid w:val="0094106F"/>
    <w:rsid w:val="00946F19"/>
    <w:rsid w:val="00947230"/>
    <w:rsid w:val="009473AC"/>
    <w:rsid w:val="00947891"/>
    <w:rsid w:val="00950F18"/>
    <w:rsid w:val="00951D96"/>
    <w:rsid w:val="00953116"/>
    <w:rsid w:val="00953CB1"/>
    <w:rsid w:val="00954321"/>
    <w:rsid w:val="00956331"/>
    <w:rsid w:val="009564CB"/>
    <w:rsid w:val="00961693"/>
    <w:rsid w:val="00963F12"/>
    <w:rsid w:val="00964133"/>
    <w:rsid w:val="00964CAB"/>
    <w:rsid w:val="00964CAF"/>
    <w:rsid w:val="00966349"/>
    <w:rsid w:val="00967AA5"/>
    <w:rsid w:val="00972260"/>
    <w:rsid w:val="00976BDF"/>
    <w:rsid w:val="00983D5F"/>
    <w:rsid w:val="00983D88"/>
    <w:rsid w:val="009840FB"/>
    <w:rsid w:val="00985342"/>
    <w:rsid w:val="009865C9"/>
    <w:rsid w:val="0099054A"/>
    <w:rsid w:val="00990CD9"/>
    <w:rsid w:val="00992AFA"/>
    <w:rsid w:val="009967A3"/>
    <w:rsid w:val="00997A6F"/>
    <w:rsid w:val="009A1435"/>
    <w:rsid w:val="009A1C5D"/>
    <w:rsid w:val="009A2F45"/>
    <w:rsid w:val="009B3968"/>
    <w:rsid w:val="009B76A9"/>
    <w:rsid w:val="009B7A8A"/>
    <w:rsid w:val="009C0CD1"/>
    <w:rsid w:val="009C730A"/>
    <w:rsid w:val="009D6829"/>
    <w:rsid w:val="009E3E14"/>
    <w:rsid w:val="009E3F03"/>
    <w:rsid w:val="009E568F"/>
    <w:rsid w:val="009F1DE2"/>
    <w:rsid w:val="009F3C85"/>
    <w:rsid w:val="009F48F6"/>
    <w:rsid w:val="009F612B"/>
    <w:rsid w:val="009F7541"/>
    <w:rsid w:val="00A00D90"/>
    <w:rsid w:val="00A01151"/>
    <w:rsid w:val="00A012A3"/>
    <w:rsid w:val="00A0149D"/>
    <w:rsid w:val="00A026E0"/>
    <w:rsid w:val="00A0485E"/>
    <w:rsid w:val="00A10B80"/>
    <w:rsid w:val="00A11581"/>
    <w:rsid w:val="00A13181"/>
    <w:rsid w:val="00A1707E"/>
    <w:rsid w:val="00A17B60"/>
    <w:rsid w:val="00A20517"/>
    <w:rsid w:val="00A23A45"/>
    <w:rsid w:val="00A251F3"/>
    <w:rsid w:val="00A25B14"/>
    <w:rsid w:val="00A2659A"/>
    <w:rsid w:val="00A3144E"/>
    <w:rsid w:val="00A31485"/>
    <w:rsid w:val="00A329E6"/>
    <w:rsid w:val="00A350FB"/>
    <w:rsid w:val="00A3602E"/>
    <w:rsid w:val="00A369AF"/>
    <w:rsid w:val="00A43154"/>
    <w:rsid w:val="00A47F1E"/>
    <w:rsid w:val="00A5017E"/>
    <w:rsid w:val="00A5073D"/>
    <w:rsid w:val="00A50776"/>
    <w:rsid w:val="00A52533"/>
    <w:rsid w:val="00A5293F"/>
    <w:rsid w:val="00A54A9C"/>
    <w:rsid w:val="00A575C9"/>
    <w:rsid w:val="00A65BC3"/>
    <w:rsid w:val="00A66CB4"/>
    <w:rsid w:val="00A712F1"/>
    <w:rsid w:val="00A71327"/>
    <w:rsid w:val="00A727D6"/>
    <w:rsid w:val="00A747F4"/>
    <w:rsid w:val="00A77F9F"/>
    <w:rsid w:val="00A80765"/>
    <w:rsid w:val="00A80C5E"/>
    <w:rsid w:val="00A8261D"/>
    <w:rsid w:val="00A8289D"/>
    <w:rsid w:val="00A83FB2"/>
    <w:rsid w:val="00A85BE0"/>
    <w:rsid w:val="00A8653F"/>
    <w:rsid w:val="00A90F27"/>
    <w:rsid w:val="00A915ED"/>
    <w:rsid w:val="00A92354"/>
    <w:rsid w:val="00A92A19"/>
    <w:rsid w:val="00A932A0"/>
    <w:rsid w:val="00A95E0A"/>
    <w:rsid w:val="00A96AFA"/>
    <w:rsid w:val="00A96F0D"/>
    <w:rsid w:val="00AA153C"/>
    <w:rsid w:val="00AA2BE1"/>
    <w:rsid w:val="00AA6701"/>
    <w:rsid w:val="00AB34DE"/>
    <w:rsid w:val="00AB3623"/>
    <w:rsid w:val="00AB6586"/>
    <w:rsid w:val="00AB6BEC"/>
    <w:rsid w:val="00AB72CC"/>
    <w:rsid w:val="00AC5B63"/>
    <w:rsid w:val="00AC7B60"/>
    <w:rsid w:val="00AD36E6"/>
    <w:rsid w:val="00AD3BB5"/>
    <w:rsid w:val="00AD6187"/>
    <w:rsid w:val="00AD647F"/>
    <w:rsid w:val="00AD678E"/>
    <w:rsid w:val="00AD69D5"/>
    <w:rsid w:val="00AD7993"/>
    <w:rsid w:val="00AE2DE0"/>
    <w:rsid w:val="00AE6B3B"/>
    <w:rsid w:val="00AF0E1D"/>
    <w:rsid w:val="00AF134C"/>
    <w:rsid w:val="00AF17A6"/>
    <w:rsid w:val="00AF2600"/>
    <w:rsid w:val="00AF2DC5"/>
    <w:rsid w:val="00AF397A"/>
    <w:rsid w:val="00AF5237"/>
    <w:rsid w:val="00AF6714"/>
    <w:rsid w:val="00B0001A"/>
    <w:rsid w:val="00B07B8D"/>
    <w:rsid w:val="00B153D8"/>
    <w:rsid w:val="00B20462"/>
    <w:rsid w:val="00B23308"/>
    <w:rsid w:val="00B2349F"/>
    <w:rsid w:val="00B23A61"/>
    <w:rsid w:val="00B244E9"/>
    <w:rsid w:val="00B30A29"/>
    <w:rsid w:val="00B30B46"/>
    <w:rsid w:val="00B34283"/>
    <w:rsid w:val="00B34751"/>
    <w:rsid w:val="00B37EEC"/>
    <w:rsid w:val="00B43F2A"/>
    <w:rsid w:val="00B469AB"/>
    <w:rsid w:val="00B51C4E"/>
    <w:rsid w:val="00B51F2D"/>
    <w:rsid w:val="00B51F9A"/>
    <w:rsid w:val="00B52CA6"/>
    <w:rsid w:val="00B5300C"/>
    <w:rsid w:val="00B5663A"/>
    <w:rsid w:val="00B56992"/>
    <w:rsid w:val="00B570DD"/>
    <w:rsid w:val="00B577BB"/>
    <w:rsid w:val="00B60AC5"/>
    <w:rsid w:val="00B652D5"/>
    <w:rsid w:val="00B65681"/>
    <w:rsid w:val="00B763C2"/>
    <w:rsid w:val="00B777FC"/>
    <w:rsid w:val="00B80538"/>
    <w:rsid w:val="00B82273"/>
    <w:rsid w:val="00B8616C"/>
    <w:rsid w:val="00B86C1C"/>
    <w:rsid w:val="00B90A94"/>
    <w:rsid w:val="00B917FF"/>
    <w:rsid w:val="00B91B14"/>
    <w:rsid w:val="00B944BD"/>
    <w:rsid w:val="00B960F0"/>
    <w:rsid w:val="00B9704B"/>
    <w:rsid w:val="00B97DEB"/>
    <w:rsid w:val="00BA42B7"/>
    <w:rsid w:val="00BA48A2"/>
    <w:rsid w:val="00BA716A"/>
    <w:rsid w:val="00BA7B64"/>
    <w:rsid w:val="00BB3928"/>
    <w:rsid w:val="00BB6BC3"/>
    <w:rsid w:val="00BC0BE0"/>
    <w:rsid w:val="00BC4D27"/>
    <w:rsid w:val="00BC759D"/>
    <w:rsid w:val="00BC7B46"/>
    <w:rsid w:val="00BD1B62"/>
    <w:rsid w:val="00BD1C6B"/>
    <w:rsid w:val="00BD28E7"/>
    <w:rsid w:val="00BD3776"/>
    <w:rsid w:val="00BE1038"/>
    <w:rsid w:val="00BE1AEE"/>
    <w:rsid w:val="00BE25A4"/>
    <w:rsid w:val="00BE2C34"/>
    <w:rsid w:val="00BE6C12"/>
    <w:rsid w:val="00BF010D"/>
    <w:rsid w:val="00BF0AA3"/>
    <w:rsid w:val="00BF12CC"/>
    <w:rsid w:val="00BF39D9"/>
    <w:rsid w:val="00BF6AB4"/>
    <w:rsid w:val="00BF70D9"/>
    <w:rsid w:val="00C01E3B"/>
    <w:rsid w:val="00C0497A"/>
    <w:rsid w:val="00C1041E"/>
    <w:rsid w:val="00C129EF"/>
    <w:rsid w:val="00C12F08"/>
    <w:rsid w:val="00C149A6"/>
    <w:rsid w:val="00C15E67"/>
    <w:rsid w:val="00C16277"/>
    <w:rsid w:val="00C1684C"/>
    <w:rsid w:val="00C20867"/>
    <w:rsid w:val="00C2141D"/>
    <w:rsid w:val="00C2271F"/>
    <w:rsid w:val="00C22918"/>
    <w:rsid w:val="00C23A9D"/>
    <w:rsid w:val="00C2498D"/>
    <w:rsid w:val="00C250B9"/>
    <w:rsid w:val="00C31D8F"/>
    <w:rsid w:val="00C32612"/>
    <w:rsid w:val="00C34042"/>
    <w:rsid w:val="00C34C8F"/>
    <w:rsid w:val="00C37574"/>
    <w:rsid w:val="00C44ECB"/>
    <w:rsid w:val="00C46B06"/>
    <w:rsid w:val="00C476E9"/>
    <w:rsid w:val="00C47918"/>
    <w:rsid w:val="00C47A5B"/>
    <w:rsid w:val="00C50C74"/>
    <w:rsid w:val="00C54BA9"/>
    <w:rsid w:val="00C60014"/>
    <w:rsid w:val="00C6166A"/>
    <w:rsid w:val="00C61A71"/>
    <w:rsid w:val="00C634C2"/>
    <w:rsid w:val="00C63762"/>
    <w:rsid w:val="00C64494"/>
    <w:rsid w:val="00C647D6"/>
    <w:rsid w:val="00C64CF1"/>
    <w:rsid w:val="00C65950"/>
    <w:rsid w:val="00C667CD"/>
    <w:rsid w:val="00C66C7F"/>
    <w:rsid w:val="00C66F13"/>
    <w:rsid w:val="00C679F7"/>
    <w:rsid w:val="00C700D1"/>
    <w:rsid w:val="00C72C47"/>
    <w:rsid w:val="00C7689F"/>
    <w:rsid w:val="00C76C8B"/>
    <w:rsid w:val="00C87924"/>
    <w:rsid w:val="00C90816"/>
    <w:rsid w:val="00C974FB"/>
    <w:rsid w:val="00CA043C"/>
    <w:rsid w:val="00CA0F92"/>
    <w:rsid w:val="00CA2828"/>
    <w:rsid w:val="00CA42FF"/>
    <w:rsid w:val="00CA5ED5"/>
    <w:rsid w:val="00CA6349"/>
    <w:rsid w:val="00CB007C"/>
    <w:rsid w:val="00CB0350"/>
    <w:rsid w:val="00CB193E"/>
    <w:rsid w:val="00CB4559"/>
    <w:rsid w:val="00CB6A22"/>
    <w:rsid w:val="00CB733A"/>
    <w:rsid w:val="00CB74BB"/>
    <w:rsid w:val="00CD5677"/>
    <w:rsid w:val="00CD74DB"/>
    <w:rsid w:val="00CE69C6"/>
    <w:rsid w:val="00CE74F3"/>
    <w:rsid w:val="00CF439E"/>
    <w:rsid w:val="00CF4C32"/>
    <w:rsid w:val="00CF5C25"/>
    <w:rsid w:val="00D019BD"/>
    <w:rsid w:val="00D02DBD"/>
    <w:rsid w:val="00D06062"/>
    <w:rsid w:val="00D07F8E"/>
    <w:rsid w:val="00D12917"/>
    <w:rsid w:val="00D13C60"/>
    <w:rsid w:val="00D14EF2"/>
    <w:rsid w:val="00D153B4"/>
    <w:rsid w:val="00D22D1C"/>
    <w:rsid w:val="00D26654"/>
    <w:rsid w:val="00D27345"/>
    <w:rsid w:val="00D3305A"/>
    <w:rsid w:val="00D33A47"/>
    <w:rsid w:val="00D33FFB"/>
    <w:rsid w:val="00D357E2"/>
    <w:rsid w:val="00D40200"/>
    <w:rsid w:val="00D41E39"/>
    <w:rsid w:val="00D4312E"/>
    <w:rsid w:val="00D4357D"/>
    <w:rsid w:val="00D50477"/>
    <w:rsid w:val="00D529BF"/>
    <w:rsid w:val="00D530D3"/>
    <w:rsid w:val="00D53AD0"/>
    <w:rsid w:val="00D552A3"/>
    <w:rsid w:val="00D554F5"/>
    <w:rsid w:val="00D556B3"/>
    <w:rsid w:val="00D573A8"/>
    <w:rsid w:val="00D578BF"/>
    <w:rsid w:val="00D60452"/>
    <w:rsid w:val="00D659C0"/>
    <w:rsid w:val="00D67A0F"/>
    <w:rsid w:val="00D748C9"/>
    <w:rsid w:val="00D76148"/>
    <w:rsid w:val="00D81128"/>
    <w:rsid w:val="00D8249F"/>
    <w:rsid w:val="00D825E6"/>
    <w:rsid w:val="00D836C3"/>
    <w:rsid w:val="00D83E2A"/>
    <w:rsid w:val="00D8493E"/>
    <w:rsid w:val="00D84E4C"/>
    <w:rsid w:val="00D93033"/>
    <w:rsid w:val="00D932AA"/>
    <w:rsid w:val="00D96131"/>
    <w:rsid w:val="00D96FEA"/>
    <w:rsid w:val="00D97237"/>
    <w:rsid w:val="00DA0376"/>
    <w:rsid w:val="00DA1068"/>
    <w:rsid w:val="00DA1696"/>
    <w:rsid w:val="00DA1C7C"/>
    <w:rsid w:val="00DA4785"/>
    <w:rsid w:val="00DA6ECB"/>
    <w:rsid w:val="00DB0E31"/>
    <w:rsid w:val="00DB3237"/>
    <w:rsid w:val="00DB47DA"/>
    <w:rsid w:val="00DB6C75"/>
    <w:rsid w:val="00DC142B"/>
    <w:rsid w:val="00DC3B83"/>
    <w:rsid w:val="00DD2A38"/>
    <w:rsid w:val="00DD52C3"/>
    <w:rsid w:val="00DE23CA"/>
    <w:rsid w:val="00DE552F"/>
    <w:rsid w:val="00DE5877"/>
    <w:rsid w:val="00DE72A8"/>
    <w:rsid w:val="00DF1F34"/>
    <w:rsid w:val="00DF34A5"/>
    <w:rsid w:val="00DF6F3D"/>
    <w:rsid w:val="00DF79EC"/>
    <w:rsid w:val="00E00089"/>
    <w:rsid w:val="00E00609"/>
    <w:rsid w:val="00E01764"/>
    <w:rsid w:val="00E0273B"/>
    <w:rsid w:val="00E035E4"/>
    <w:rsid w:val="00E07FB2"/>
    <w:rsid w:val="00E111AA"/>
    <w:rsid w:val="00E12744"/>
    <w:rsid w:val="00E17E7B"/>
    <w:rsid w:val="00E20157"/>
    <w:rsid w:val="00E20BD0"/>
    <w:rsid w:val="00E22D21"/>
    <w:rsid w:val="00E2610A"/>
    <w:rsid w:val="00E2618F"/>
    <w:rsid w:val="00E26C6E"/>
    <w:rsid w:val="00E338E8"/>
    <w:rsid w:val="00E33B66"/>
    <w:rsid w:val="00E368B6"/>
    <w:rsid w:val="00E41F90"/>
    <w:rsid w:val="00E426B9"/>
    <w:rsid w:val="00E42863"/>
    <w:rsid w:val="00E42CE9"/>
    <w:rsid w:val="00E4466F"/>
    <w:rsid w:val="00E448C3"/>
    <w:rsid w:val="00E468E0"/>
    <w:rsid w:val="00E53959"/>
    <w:rsid w:val="00E54CBD"/>
    <w:rsid w:val="00E553EE"/>
    <w:rsid w:val="00E55D0B"/>
    <w:rsid w:val="00E55EBA"/>
    <w:rsid w:val="00E56431"/>
    <w:rsid w:val="00E615EF"/>
    <w:rsid w:val="00E62FA8"/>
    <w:rsid w:val="00E6375B"/>
    <w:rsid w:val="00E66135"/>
    <w:rsid w:val="00E70488"/>
    <w:rsid w:val="00E73BB8"/>
    <w:rsid w:val="00E758BF"/>
    <w:rsid w:val="00E80498"/>
    <w:rsid w:val="00E806B1"/>
    <w:rsid w:val="00E81E88"/>
    <w:rsid w:val="00E8339B"/>
    <w:rsid w:val="00E834EF"/>
    <w:rsid w:val="00E835B7"/>
    <w:rsid w:val="00E83EFA"/>
    <w:rsid w:val="00E848CD"/>
    <w:rsid w:val="00E85F42"/>
    <w:rsid w:val="00E86E01"/>
    <w:rsid w:val="00E93819"/>
    <w:rsid w:val="00E97213"/>
    <w:rsid w:val="00EA3E99"/>
    <w:rsid w:val="00EA449F"/>
    <w:rsid w:val="00EB1B20"/>
    <w:rsid w:val="00EB4CBD"/>
    <w:rsid w:val="00EB7169"/>
    <w:rsid w:val="00EB7493"/>
    <w:rsid w:val="00EB781C"/>
    <w:rsid w:val="00EC19B7"/>
    <w:rsid w:val="00EC1CE8"/>
    <w:rsid w:val="00EC3060"/>
    <w:rsid w:val="00EC37BF"/>
    <w:rsid w:val="00EC38CB"/>
    <w:rsid w:val="00EC5EF7"/>
    <w:rsid w:val="00EC75E2"/>
    <w:rsid w:val="00ED02BE"/>
    <w:rsid w:val="00ED3BB5"/>
    <w:rsid w:val="00EE1D8A"/>
    <w:rsid w:val="00EE2D4F"/>
    <w:rsid w:val="00EE2DF0"/>
    <w:rsid w:val="00EE4938"/>
    <w:rsid w:val="00EE69F1"/>
    <w:rsid w:val="00EF2706"/>
    <w:rsid w:val="00EF366E"/>
    <w:rsid w:val="00EF473C"/>
    <w:rsid w:val="00EF6E2C"/>
    <w:rsid w:val="00F0413E"/>
    <w:rsid w:val="00F046C2"/>
    <w:rsid w:val="00F05622"/>
    <w:rsid w:val="00F127F5"/>
    <w:rsid w:val="00F13911"/>
    <w:rsid w:val="00F13AE4"/>
    <w:rsid w:val="00F13BF6"/>
    <w:rsid w:val="00F14D0E"/>
    <w:rsid w:val="00F15703"/>
    <w:rsid w:val="00F223AE"/>
    <w:rsid w:val="00F22A6E"/>
    <w:rsid w:val="00F24AC1"/>
    <w:rsid w:val="00F255D6"/>
    <w:rsid w:val="00F26E86"/>
    <w:rsid w:val="00F3031C"/>
    <w:rsid w:val="00F3328F"/>
    <w:rsid w:val="00F33324"/>
    <w:rsid w:val="00F35404"/>
    <w:rsid w:val="00F35D29"/>
    <w:rsid w:val="00F37C83"/>
    <w:rsid w:val="00F408EF"/>
    <w:rsid w:val="00F41531"/>
    <w:rsid w:val="00F4426C"/>
    <w:rsid w:val="00F44985"/>
    <w:rsid w:val="00F44D06"/>
    <w:rsid w:val="00F47BF3"/>
    <w:rsid w:val="00F47D83"/>
    <w:rsid w:val="00F516CE"/>
    <w:rsid w:val="00F53113"/>
    <w:rsid w:val="00F53289"/>
    <w:rsid w:val="00F53EE0"/>
    <w:rsid w:val="00F56798"/>
    <w:rsid w:val="00F56C1B"/>
    <w:rsid w:val="00F6149C"/>
    <w:rsid w:val="00F663CA"/>
    <w:rsid w:val="00F711C4"/>
    <w:rsid w:val="00F71216"/>
    <w:rsid w:val="00F73F8E"/>
    <w:rsid w:val="00F753CB"/>
    <w:rsid w:val="00F8153D"/>
    <w:rsid w:val="00F82A82"/>
    <w:rsid w:val="00F84202"/>
    <w:rsid w:val="00F84BDB"/>
    <w:rsid w:val="00F85119"/>
    <w:rsid w:val="00F85944"/>
    <w:rsid w:val="00F862E0"/>
    <w:rsid w:val="00F87953"/>
    <w:rsid w:val="00F918BF"/>
    <w:rsid w:val="00F91C3B"/>
    <w:rsid w:val="00F922A5"/>
    <w:rsid w:val="00F93C63"/>
    <w:rsid w:val="00FA174F"/>
    <w:rsid w:val="00FB33CC"/>
    <w:rsid w:val="00FB35EC"/>
    <w:rsid w:val="00FB7A17"/>
    <w:rsid w:val="00FC1D61"/>
    <w:rsid w:val="00FC3582"/>
    <w:rsid w:val="00FC3697"/>
    <w:rsid w:val="00FC5D07"/>
    <w:rsid w:val="00FC6EFC"/>
    <w:rsid w:val="00FC6F02"/>
    <w:rsid w:val="00FC7856"/>
    <w:rsid w:val="00FD3F1F"/>
    <w:rsid w:val="00FD4C17"/>
    <w:rsid w:val="00FD6445"/>
    <w:rsid w:val="00FD7278"/>
    <w:rsid w:val="00FE16C4"/>
    <w:rsid w:val="00FE4417"/>
    <w:rsid w:val="00FE52EE"/>
    <w:rsid w:val="00FE5741"/>
    <w:rsid w:val="00FE5F7C"/>
    <w:rsid w:val="00FE710F"/>
    <w:rsid w:val="00FF0B84"/>
    <w:rsid w:val="00FF24C7"/>
    <w:rsid w:val="00FF2901"/>
    <w:rsid w:val="00FF62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D9"/>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6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A4F"/>
    <w:rPr>
      <w:rFonts w:ascii="Tahoma" w:hAnsi="Tahoma" w:cs="Tahoma"/>
      <w:sz w:val="16"/>
      <w:szCs w:val="16"/>
      <w:lang w:val="ca-ES"/>
    </w:rPr>
  </w:style>
  <w:style w:type="paragraph" w:styleId="Encabezado">
    <w:name w:val="header"/>
    <w:basedOn w:val="Normal"/>
    <w:link w:val="EncabezadoCar"/>
    <w:uiPriority w:val="99"/>
    <w:unhideWhenUsed/>
    <w:rsid w:val="005E19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03"/>
    <w:rPr>
      <w:lang w:val="ca-ES"/>
    </w:rPr>
  </w:style>
  <w:style w:type="paragraph" w:styleId="Piedepgina">
    <w:name w:val="footer"/>
    <w:basedOn w:val="Normal"/>
    <w:link w:val="PiedepginaCar"/>
    <w:uiPriority w:val="99"/>
    <w:unhideWhenUsed/>
    <w:rsid w:val="005E19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1903"/>
    <w:rPr>
      <w:lang w:val="ca-ES"/>
    </w:rPr>
  </w:style>
  <w:style w:type="paragraph" w:styleId="Textonotapie">
    <w:name w:val="footnote text"/>
    <w:basedOn w:val="Normal"/>
    <w:link w:val="TextonotapieCar"/>
    <w:uiPriority w:val="99"/>
    <w:semiHidden/>
    <w:unhideWhenUsed/>
    <w:rsid w:val="00DF6F3D"/>
    <w:rPr>
      <w:sz w:val="20"/>
      <w:szCs w:val="20"/>
    </w:rPr>
  </w:style>
  <w:style w:type="character" w:customStyle="1" w:styleId="TextonotapieCar">
    <w:name w:val="Texto nota pie Car"/>
    <w:basedOn w:val="Fuentedeprrafopredeter"/>
    <w:link w:val="Textonotapie"/>
    <w:uiPriority w:val="99"/>
    <w:semiHidden/>
    <w:rsid w:val="00DF6F3D"/>
    <w:rPr>
      <w:lang w:val="ca-ES" w:eastAsia="en-US"/>
    </w:rPr>
  </w:style>
  <w:style w:type="character" w:styleId="Refdenotaalpie">
    <w:name w:val="footnote reference"/>
    <w:basedOn w:val="Fuentedeprrafopredeter"/>
    <w:uiPriority w:val="99"/>
    <w:semiHidden/>
    <w:unhideWhenUsed/>
    <w:rsid w:val="00DF6F3D"/>
    <w:rPr>
      <w:vertAlign w:val="superscript"/>
    </w:rPr>
  </w:style>
  <w:style w:type="character" w:customStyle="1" w:styleId="Textodelmarcadordeposicin1">
    <w:name w:val="Texto del marcador de posición1"/>
    <w:basedOn w:val="Fuentedeprrafopredeter"/>
    <w:uiPriority w:val="99"/>
    <w:semiHidden/>
    <w:rsid w:val="00D96131"/>
    <w:rPr>
      <w:color w:val="808080"/>
    </w:rPr>
  </w:style>
  <w:style w:type="paragraph" w:customStyle="1" w:styleId="Prrafodelista1">
    <w:name w:val="Párrafo de lista1"/>
    <w:basedOn w:val="Normal"/>
    <w:uiPriority w:val="34"/>
    <w:qFormat/>
    <w:rsid w:val="007066D0"/>
    <w:pPr>
      <w:spacing w:after="0" w:line="240" w:lineRule="auto"/>
      <w:ind w:left="720"/>
      <w:contextualSpacing/>
      <w:jc w:val="both"/>
    </w:pPr>
  </w:style>
  <w:style w:type="table" w:customStyle="1" w:styleId="Sombreadoclaro-nfasis11">
    <w:name w:val="Sombreado claro - Énfasis 11"/>
    <w:basedOn w:val="Tablanormal"/>
    <w:uiPriority w:val="60"/>
    <w:rsid w:val="007066D0"/>
    <w:pPr>
      <w:jc w:val="both"/>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
    <w:name w:val="Sombreado claro - Énfasis 12"/>
    <w:basedOn w:val="Tablanormal"/>
    <w:uiPriority w:val="60"/>
    <w:rsid w:val="007066D0"/>
    <w:pPr>
      <w:jc w:val="both"/>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oncuadrcula">
    <w:name w:val="Table Grid"/>
    <w:basedOn w:val="Tablanormal"/>
    <w:uiPriority w:val="59"/>
    <w:rsid w:val="00361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3">
    <w:name w:val="Sombreado claro - Énfasis 13"/>
    <w:basedOn w:val="Tablanormal"/>
    <w:uiPriority w:val="60"/>
    <w:rsid w:val="005D7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ipervnculo">
    <w:name w:val="Hyperlink"/>
    <w:basedOn w:val="Fuentedeprrafopredeter"/>
    <w:uiPriority w:val="99"/>
    <w:unhideWhenUsed/>
    <w:rsid w:val="007911AC"/>
    <w:rPr>
      <w:color w:val="0000FF"/>
      <w:u w:val="single"/>
    </w:rPr>
  </w:style>
  <w:style w:type="character" w:styleId="Hipervnculovisitado">
    <w:name w:val="FollowedHyperlink"/>
    <w:basedOn w:val="Fuentedeprrafopredeter"/>
    <w:uiPriority w:val="99"/>
    <w:semiHidden/>
    <w:unhideWhenUsed/>
    <w:rsid w:val="007911AC"/>
    <w:rPr>
      <w:color w:val="800080"/>
      <w:u w:val="single"/>
    </w:rPr>
  </w:style>
  <w:style w:type="table" w:customStyle="1" w:styleId="Sombreadoclaro-nfasis111">
    <w:name w:val="Sombreado claro - Énfasis 111"/>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2">
    <w:name w:val="Sombreado claro - Énfasis 112"/>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1">
    <w:name w:val="Sombreado claro - Énfasis 121"/>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3">
    <w:name w:val="Sombreado claro - Énfasis 113"/>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4">
    <w:name w:val="Sombreado claro - Énfasis 114"/>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2">
    <w:name w:val="Sombreado claro - Énfasis 122"/>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3">
    <w:name w:val="Sombreado claro - Énfasis 123"/>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D9"/>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6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A4F"/>
    <w:rPr>
      <w:rFonts w:ascii="Tahoma" w:hAnsi="Tahoma" w:cs="Tahoma"/>
      <w:sz w:val="16"/>
      <w:szCs w:val="16"/>
      <w:lang w:val="ca-ES"/>
    </w:rPr>
  </w:style>
  <w:style w:type="paragraph" w:styleId="Encabezado">
    <w:name w:val="header"/>
    <w:basedOn w:val="Normal"/>
    <w:link w:val="EncabezadoCar"/>
    <w:uiPriority w:val="99"/>
    <w:unhideWhenUsed/>
    <w:rsid w:val="005E19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03"/>
    <w:rPr>
      <w:lang w:val="ca-ES"/>
    </w:rPr>
  </w:style>
  <w:style w:type="paragraph" w:styleId="Piedepgina">
    <w:name w:val="footer"/>
    <w:basedOn w:val="Normal"/>
    <w:link w:val="PiedepginaCar"/>
    <w:uiPriority w:val="99"/>
    <w:unhideWhenUsed/>
    <w:rsid w:val="005E19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1903"/>
    <w:rPr>
      <w:lang w:val="ca-ES"/>
    </w:rPr>
  </w:style>
  <w:style w:type="paragraph" w:styleId="Textonotapie">
    <w:name w:val="footnote text"/>
    <w:basedOn w:val="Normal"/>
    <w:link w:val="TextonotapieCar"/>
    <w:uiPriority w:val="99"/>
    <w:semiHidden/>
    <w:unhideWhenUsed/>
    <w:rsid w:val="00DF6F3D"/>
    <w:rPr>
      <w:sz w:val="20"/>
      <w:szCs w:val="20"/>
    </w:rPr>
  </w:style>
  <w:style w:type="character" w:customStyle="1" w:styleId="TextonotapieCar">
    <w:name w:val="Texto nota pie Car"/>
    <w:basedOn w:val="Fuentedeprrafopredeter"/>
    <w:link w:val="Textonotapie"/>
    <w:uiPriority w:val="99"/>
    <w:semiHidden/>
    <w:rsid w:val="00DF6F3D"/>
    <w:rPr>
      <w:lang w:val="ca-ES" w:eastAsia="en-US"/>
    </w:rPr>
  </w:style>
  <w:style w:type="character" w:styleId="Refdenotaalpie">
    <w:name w:val="footnote reference"/>
    <w:basedOn w:val="Fuentedeprrafopredeter"/>
    <w:uiPriority w:val="99"/>
    <w:semiHidden/>
    <w:unhideWhenUsed/>
    <w:rsid w:val="00DF6F3D"/>
    <w:rPr>
      <w:vertAlign w:val="superscript"/>
    </w:rPr>
  </w:style>
  <w:style w:type="character" w:customStyle="1" w:styleId="Textodelmarcadordeposicin1">
    <w:name w:val="Texto del marcador de posición1"/>
    <w:basedOn w:val="Fuentedeprrafopredeter"/>
    <w:uiPriority w:val="99"/>
    <w:semiHidden/>
    <w:rsid w:val="00D96131"/>
    <w:rPr>
      <w:color w:val="808080"/>
    </w:rPr>
  </w:style>
  <w:style w:type="paragraph" w:customStyle="1" w:styleId="Prrafodelista1">
    <w:name w:val="Párrafo de lista1"/>
    <w:basedOn w:val="Normal"/>
    <w:uiPriority w:val="34"/>
    <w:qFormat/>
    <w:rsid w:val="007066D0"/>
    <w:pPr>
      <w:spacing w:after="0" w:line="240" w:lineRule="auto"/>
      <w:ind w:left="720"/>
      <w:contextualSpacing/>
      <w:jc w:val="both"/>
    </w:pPr>
  </w:style>
  <w:style w:type="table" w:customStyle="1" w:styleId="Sombreadoclaro-nfasis11">
    <w:name w:val="Sombreado claro - Énfasis 11"/>
    <w:basedOn w:val="Tablanormal"/>
    <w:uiPriority w:val="60"/>
    <w:rsid w:val="007066D0"/>
    <w:pPr>
      <w:jc w:val="both"/>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
    <w:name w:val="Sombreado claro - Énfasis 12"/>
    <w:basedOn w:val="Tablanormal"/>
    <w:uiPriority w:val="60"/>
    <w:rsid w:val="007066D0"/>
    <w:pPr>
      <w:jc w:val="both"/>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oncuadrcula">
    <w:name w:val="Table Grid"/>
    <w:basedOn w:val="Tablanormal"/>
    <w:uiPriority w:val="59"/>
    <w:rsid w:val="00361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3">
    <w:name w:val="Sombreado claro - Énfasis 13"/>
    <w:basedOn w:val="Tablanormal"/>
    <w:uiPriority w:val="60"/>
    <w:rsid w:val="005D7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ipervnculo">
    <w:name w:val="Hyperlink"/>
    <w:basedOn w:val="Fuentedeprrafopredeter"/>
    <w:uiPriority w:val="99"/>
    <w:unhideWhenUsed/>
    <w:rsid w:val="007911AC"/>
    <w:rPr>
      <w:color w:val="0000FF"/>
      <w:u w:val="single"/>
    </w:rPr>
  </w:style>
  <w:style w:type="character" w:styleId="Hipervnculovisitado">
    <w:name w:val="FollowedHyperlink"/>
    <w:basedOn w:val="Fuentedeprrafopredeter"/>
    <w:uiPriority w:val="99"/>
    <w:semiHidden/>
    <w:unhideWhenUsed/>
    <w:rsid w:val="007911AC"/>
    <w:rPr>
      <w:color w:val="800080"/>
      <w:u w:val="single"/>
    </w:rPr>
  </w:style>
  <w:style w:type="table" w:customStyle="1" w:styleId="Sombreadoclaro-nfasis111">
    <w:name w:val="Sombreado claro - Énfasis 111"/>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2">
    <w:name w:val="Sombreado claro - Énfasis 112"/>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1">
    <w:name w:val="Sombreado claro - Énfasis 121"/>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3">
    <w:name w:val="Sombreado claro - Énfasis 113"/>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4">
    <w:name w:val="Sombreado claro - Énfasis 114"/>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2">
    <w:name w:val="Sombreado claro - Énfasis 122"/>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3">
    <w:name w:val="Sombreado claro - Énfasis 123"/>
    <w:basedOn w:val="Tablanormal"/>
    <w:uiPriority w:val="60"/>
    <w:rsid w:val="002A7658"/>
    <w:pPr>
      <w:jc w:val="both"/>
    </w:pPr>
    <w:rPr>
      <w:rFonts w:asciiTheme="minorHAnsi" w:eastAsiaTheme="minorHAnsi" w:hAnsiTheme="minorHAnsi" w:cstheme="minorBidi"/>
      <w:color w:val="365F91" w:themeColor="accent1" w:themeShade="BF"/>
      <w:sz w:val="22"/>
      <w:szCs w:val="22"/>
      <w:lang w:val="ca-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4899">
      <w:bodyDiv w:val="1"/>
      <w:marLeft w:val="0"/>
      <w:marRight w:val="0"/>
      <w:marTop w:val="0"/>
      <w:marBottom w:val="0"/>
      <w:divBdr>
        <w:top w:val="none" w:sz="0" w:space="0" w:color="auto"/>
        <w:left w:val="none" w:sz="0" w:space="0" w:color="auto"/>
        <w:bottom w:val="none" w:sz="0" w:space="0" w:color="auto"/>
        <w:right w:val="none" w:sz="0" w:space="0" w:color="auto"/>
      </w:divBdr>
    </w:div>
    <w:div w:id="1669286831">
      <w:bodyDiv w:val="1"/>
      <w:marLeft w:val="0"/>
      <w:marRight w:val="0"/>
      <w:marTop w:val="0"/>
      <w:marBottom w:val="0"/>
      <w:divBdr>
        <w:top w:val="none" w:sz="0" w:space="0" w:color="auto"/>
        <w:left w:val="none" w:sz="0" w:space="0" w:color="auto"/>
        <w:bottom w:val="none" w:sz="0" w:space="0" w:color="auto"/>
        <w:right w:val="none" w:sz="0" w:space="0" w:color="auto"/>
      </w:divBdr>
    </w:div>
    <w:div w:id="1918175373">
      <w:bodyDiv w:val="1"/>
      <w:marLeft w:val="0"/>
      <w:marRight w:val="0"/>
      <w:marTop w:val="0"/>
      <w:marBottom w:val="0"/>
      <w:divBdr>
        <w:top w:val="none" w:sz="0" w:space="0" w:color="auto"/>
        <w:left w:val="none" w:sz="0" w:space="0" w:color="auto"/>
        <w:bottom w:val="none" w:sz="0" w:space="0" w:color="auto"/>
        <w:right w:val="none" w:sz="0" w:space="0" w:color="auto"/>
      </w:divBdr>
    </w:div>
    <w:div w:id="1980498401">
      <w:bodyDiv w:val="1"/>
      <w:marLeft w:val="0"/>
      <w:marRight w:val="0"/>
      <w:marTop w:val="0"/>
      <w:marBottom w:val="0"/>
      <w:divBdr>
        <w:top w:val="none" w:sz="0" w:space="0" w:color="auto"/>
        <w:left w:val="none" w:sz="0" w:space="0" w:color="auto"/>
        <w:bottom w:val="none" w:sz="0" w:space="0" w:color="auto"/>
        <w:right w:val="none" w:sz="0" w:space="0" w:color="auto"/>
      </w:divBdr>
    </w:div>
    <w:div w:id="2040818485">
      <w:bodyDiv w:val="1"/>
      <w:marLeft w:val="0"/>
      <w:marRight w:val="0"/>
      <w:marTop w:val="0"/>
      <w:marBottom w:val="0"/>
      <w:divBdr>
        <w:top w:val="none" w:sz="0" w:space="0" w:color="auto"/>
        <w:left w:val="none" w:sz="0" w:space="0" w:color="auto"/>
        <w:bottom w:val="none" w:sz="0" w:space="0" w:color="auto"/>
        <w:right w:val="none" w:sz="0" w:space="0" w:color="auto"/>
      </w:divBdr>
    </w:div>
    <w:div w:id="21359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image" Target="media/image12.emf"/><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image" Target="media/image15.png"/><Relationship Id="rId55" Type="http://schemas.openxmlformats.org/officeDocument/2006/relationships/image" Target="media/image19.emf"/><Relationship Id="rId63" Type="http://schemas.openxmlformats.org/officeDocument/2006/relationships/image" Target="media/image27.emf"/><Relationship Id="rId68" Type="http://schemas.openxmlformats.org/officeDocument/2006/relationships/chart" Target="charts/chart28.xml"/><Relationship Id="rId76" Type="http://schemas.openxmlformats.org/officeDocument/2006/relationships/image" Target="media/image36.emf"/><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chart" Target="charts/chart6.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image" Target="media/image17.emf"/><Relationship Id="rId58" Type="http://schemas.openxmlformats.org/officeDocument/2006/relationships/image" Target="media/image22.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chart" Target="charts/chart33.xm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5.emf"/><Relationship Id="rId82" Type="http://schemas.openxmlformats.org/officeDocument/2006/relationships/header" Target="header3.xml"/><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chart" Target="charts/chart25.xml"/><Relationship Id="rId56" Type="http://schemas.openxmlformats.org/officeDocument/2006/relationships/image" Target="media/image20.emf"/><Relationship Id="rId64" Type="http://schemas.openxmlformats.org/officeDocument/2006/relationships/image" Target="media/image28.emf"/><Relationship Id="rId69" Type="http://schemas.openxmlformats.org/officeDocument/2006/relationships/chart" Target="charts/chart29.xml"/><Relationship Id="rId77" Type="http://schemas.openxmlformats.org/officeDocument/2006/relationships/chart" Target="charts/chart31.xml"/><Relationship Id="rId8" Type="http://schemas.openxmlformats.org/officeDocument/2006/relationships/endnotes" Target="endnotes.xml"/><Relationship Id="rId51" Type="http://schemas.openxmlformats.org/officeDocument/2006/relationships/hyperlink" Target="http://www.ctesc.cat/doc/doc_53893194_1.pdf" TargetMode="External"/><Relationship Id="rId72" Type="http://schemas.openxmlformats.org/officeDocument/2006/relationships/image" Target="media/image32.emf"/><Relationship Id="rId80" Type="http://schemas.openxmlformats.org/officeDocument/2006/relationships/hyperlink" Target="http://www.ccoo.cat/ceres" TargetMode="Externa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png"/><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chart" Target="charts/chart23.xml"/><Relationship Id="rId59" Type="http://schemas.openxmlformats.org/officeDocument/2006/relationships/image" Target="media/image23.emf"/><Relationship Id="rId67" Type="http://schemas.openxmlformats.org/officeDocument/2006/relationships/chart" Target="charts/chart27.xml"/><Relationship Id="rId20" Type="http://schemas.openxmlformats.org/officeDocument/2006/relationships/image" Target="media/image11.emf"/><Relationship Id="rId41" Type="http://schemas.openxmlformats.org/officeDocument/2006/relationships/chart" Target="charts/chart18.xml"/><Relationship Id="rId54" Type="http://schemas.openxmlformats.org/officeDocument/2006/relationships/image" Target="media/image18.emf"/><Relationship Id="rId62" Type="http://schemas.openxmlformats.org/officeDocument/2006/relationships/image" Target="media/image26.emf"/><Relationship Id="rId70" Type="http://schemas.openxmlformats.org/officeDocument/2006/relationships/chart" Target="charts/chart30.xml"/><Relationship Id="rId75" Type="http://schemas.openxmlformats.org/officeDocument/2006/relationships/image" Target="media/image35.e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hart" Target="charts/chart1.xm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chart" Target="charts/chart26.xml"/><Relationship Id="rId57" Type="http://schemas.openxmlformats.org/officeDocument/2006/relationships/image" Target="media/image21.emf"/><Relationship Id="rId10" Type="http://schemas.openxmlformats.org/officeDocument/2006/relationships/image" Target="media/image2.jpeg"/><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image" Target="media/image16.png"/><Relationship Id="rId60" Type="http://schemas.openxmlformats.org/officeDocument/2006/relationships/image" Target="media/image24.emf"/><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chart" Target="charts/chart32.xml"/><Relationship Id="rId81" Type="http://schemas.openxmlformats.org/officeDocument/2006/relationships/header" Target="header2.xml"/><Relationship Id="rId86"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ces.es/documents/10180/526241/Inf0313.pdf" TargetMode="External"/><Relationship Id="rId1" Type="http://schemas.openxmlformats.org/officeDocument/2006/relationships/hyperlink" Target="http://www.ccoo.cat/pdf_documents/2015/Informe_Distribucio_renda_2007_2013_amb_conclusion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ANI%20c\ccoo\informe%20desigualtats\llibre%20base%20anua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ANI%20c\ccoo\informe%20desigualtats\llibre%20base%20anua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ANI%20c\ccoo\informe%20desigualtats\2015\llibre%20base%20anu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0"/>
                  <c:y val="1.3888888888888938E-2"/>
                </c:manualLayout>
              </c:layout>
              <c:showLegendKey val="0"/>
              <c:showVal val="1"/>
              <c:showCatName val="0"/>
              <c:showSerName val="0"/>
              <c:showPercent val="0"/>
              <c:showBubbleSize val="0"/>
            </c:dLbl>
            <c:dLbl>
              <c:idx val="1"/>
              <c:layout>
                <c:manualLayout>
                  <c:x val="0"/>
                  <c:y val="2.31481481481481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Prestacions!$B$191:$D$191</c:f>
              <c:strCache>
                <c:ptCount val="3"/>
                <c:pt idx="0">
                  <c:v>Incapacitat permanent</c:v>
                </c:pt>
                <c:pt idx="1">
                  <c:v>Jubilació </c:v>
                </c:pt>
                <c:pt idx="2">
                  <c:v>Viduïtat</c:v>
                </c:pt>
              </c:strCache>
            </c:strRef>
          </c:cat>
          <c:val>
            <c:numRef>
              <c:f>Prestacions!$B$192:$D$192</c:f>
              <c:numCache>
                <c:formatCode>0.0%</c:formatCode>
                <c:ptCount val="3"/>
                <c:pt idx="0">
                  <c:v>0.43347432606678482</c:v>
                </c:pt>
                <c:pt idx="1">
                  <c:v>0.4312247517759174</c:v>
                </c:pt>
                <c:pt idx="2">
                  <c:v>0.91668951023391865</c:v>
                </c:pt>
              </c:numCache>
            </c:numRef>
          </c:val>
        </c:ser>
        <c:dLbls>
          <c:showLegendKey val="0"/>
          <c:showVal val="1"/>
          <c:showCatName val="0"/>
          <c:showSerName val="0"/>
          <c:showPercent val="0"/>
          <c:showBubbleSize val="0"/>
        </c:dLbls>
        <c:gapWidth val="150"/>
        <c:axId val="36712832"/>
        <c:axId val="36714368"/>
      </c:barChart>
      <c:catAx>
        <c:axId val="36712832"/>
        <c:scaling>
          <c:orientation val="minMax"/>
        </c:scaling>
        <c:delete val="0"/>
        <c:axPos val="b"/>
        <c:majorTickMark val="out"/>
        <c:minorTickMark val="none"/>
        <c:tickLblPos val="nextTo"/>
        <c:crossAx val="36714368"/>
        <c:crosses val="autoZero"/>
        <c:auto val="1"/>
        <c:lblAlgn val="ctr"/>
        <c:lblOffset val="100"/>
        <c:noMultiLvlLbl val="0"/>
      </c:catAx>
      <c:valAx>
        <c:axId val="36714368"/>
        <c:scaling>
          <c:orientation val="minMax"/>
        </c:scaling>
        <c:delete val="0"/>
        <c:axPos val="l"/>
        <c:majorGridlines/>
        <c:numFmt formatCode="0.0%" sourceLinked="1"/>
        <c:majorTickMark val="out"/>
        <c:minorTickMark val="none"/>
        <c:tickLblPos val="nextTo"/>
        <c:crossAx val="3671283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Ocupació!$G$18</c:f>
              <c:strCache>
                <c:ptCount val="1"/>
                <c:pt idx="0">
                  <c:v>16 a 24 anys</c:v>
                </c:pt>
              </c:strCache>
            </c:strRef>
          </c:tx>
          <c:dLbls>
            <c:dLblPos val="t"/>
            <c:showLegendKey val="0"/>
            <c:showVal val="1"/>
            <c:showCatName val="0"/>
            <c:showSerName val="0"/>
            <c:showPercent val="0"/>
            <c:showBubbleSize val="0"/>
            <c:showLeaderLines val="0"/>
          </c:dLbls>
          <c:cat>
            <c:strRef>
              <c:f>Ocupació!$H$17:$O$17</c:f>
              <c:strCache>
                <c:ptCount val="8"/>
                <c:pt idx="0">
                  <c:v>2007</c:v>
                </c:pt>
                <c:pt idx="1">
                  <c:v>2008</c:v>
                </c:pt>
                <c:pt idx="2">
                  <c:v>2009</c:v>
                </c:pt>
                <c:pt idx="3">
                  <c:v>2010</c:v>
                </c:pt>
                <c:pt idx="4">
                  <c:v>2011</c:v>
                </c:pt>
                <c:pt idx="5">
                  <c:v>2012</c:v>
                </c:pt>
                <c:pt idx="6">
                  <c:v>2013</c:v>
                </c:pt>
                <c:pt idx="7">
                  <c:v>2014</c:v>
                </c:pt>
              </c:strCache>
            </c:strRef>
          </c:cat>
          <c:val>
            <c:numRef>
              <c:f>Ocupació!$H$18:$O$18</c:f>
              <c:numCache>
                <c:formatCode>General</c:formatCode>
                <c:ptCount val="8"/>
                <c:pt idx="0">
                  <c:v>49.6</c:v>
                </c:pt>
                <c:pt idx="1">
                  <c:v>45.4</c:v>
                </c:pt>
                <c:pt idx="2">
                  <c:v>34.300000000000004</c:v>
                </c:pt>
                <c:pt idx="3">
                  <c:v>32.1</c:v>
                </c:pt>
                <c:pt idx="4">
                  <c:v>28.9</c:v>
                </c:pt>
                <c:pt idx="5">
                  <c:v>24.3</c:v>
                </c:pt>
                <c:pt idx="6">
                  <c:v>24.3</c:v>
                </c:pt>
                <c:pt idx="7">
                  <c:v>24.2</c:v>
                </c:pt>
              </c:numCache>
            </c:numRef>
          </c:val>
          <c:smooth val="0"/>
        </c:ser>
        <c:ser>
          <c:idx val="1"/>
          <c:order val="1"/>
          <c:tx>
            <c:strRef>
              <c:f>Ocupació!$G$19</c:f>
              <c:strCache>
                <c:ptCount val="1"/>
                <c:pt idx="0">
                  <c:v>25 a 54 anys</c:v>
                </c:pt>
              </c:strCache>
            </c:strRef>
          </c:tx>
          <c:dLbls>
            <c:dLblPos val="t"/>
            <c:showLegendKey val="0"/>
            <c:showVal val="1"/>
            <c:showCatName val="0"/>
            <c:showSerName val="0"/>
            <c:showPercent val="0"/>
            <c:showBubbleSize val="0"/>
            <c:showLeaderLines val="0"/>
          </c:dLbls>
          <c:cat>
            <c:strRef>
              <c:f>Ocupació!$H$17:$O$17</c:f>
              <c:strCache>
                <c:ptCount val="8"/>
                <c:pt idx="0">
                  <c:v>2007</c:v>
                </c:pt>
                <c:pt idx="1">
                  <c:v>2008</c:v>
                </c:pt>
                <c:pt idx="2">
                  <c:v>2009</c:v>
                </c:pt>
                <c:pt idx="3">
                  <c:v>2010</c:v>
                </c:pt>
                <c:pt idx="4">
                  <c:v>2011</c:v>
                </c:pt>
                <c:pt idx="5">
                  <c:v>2012</c:v>
                </c:pt>
                <c:pt idx="6">
                  <c:v>2013</c:v>
                </c:pt>
                <c:pt idx="7">
                  <c:v>2014</c:v>
                </c:pt>
              </c:strCache>
            </c:strRef>
          </c:cat>
          <c:val>
            <c:numRef>
              <c:f>Ocupació!$H$19:$O$19</c:f>
              <c:numCache>
                <c:formatCode>General</c:formatCode>
                <c:ptCount val="8"/>
                <c:pt idx="0">
                  <c:v>81.8</c:v>
                </c:pt>
                <c:pt idx="1">
                  <c:v>80.400000000000006</c:v>
                </c:pt>
                <c:pt idx="2">
                  <c:v>74.599999999999994</c:v>
                </c:pt>
                <c:pt idx="3">
                  <c:v>74.2</c:v>
                </c:pt>
                <c:pt idx="4">
                  <c:v>73.8</c:v>
                </c:pt>
                <c:pt idx="5">
                  <c:v>70.8</c:v>
                </c:pt>
                <c:pt idx="6">
                  <c:v>70.8</c:v>
                </c:pt>
                <c:pt idx="7">
                  <c:v>73.8</c:v>
                </c:pt>
              </c:numCache>
            </c:numRef>
          </c:val>
          <c:smooth val="0"/>
        </c:ser>
        <c:ser>
          <c:idx val="2"/>
          <c:order val="2"/>
          <c:tx>
            <c:strRef>
              <c:f>Ocupació!$G$20</c:f>
              <c:strCache>
                <c:ptCount val="1"/>
                <c:pt idx="0">
                  <c:v>55 i més anys</c:v>
                </c:pt>
              </c:strCache>
            </c:strRef>
          </c:tx>
          <c:dLbls>
            <c:dLblPos val="b"/>
            <c:showLegendKey val="0"/>
            <c:showVal val="1"/>
            <c:showCatName val="0"/>
            <c:showSerName val="0"/>
            <c:showPercent val="0"/>
            <c:showBubbleSize val="0"/>
            <c:showLeaderLines val="0"/>
          </c:dLbls>
          <c:cat>
            <c:strRef>
              <c:f>Ocupació!$H$17:$O$17</c:f>
              <c:strCache>
                <c:ptCount val="8"/>
                <c:pt idx="0">
                  <c:v>2007</c:v>
                </c:pt>
                <c:pt idx="1">
                  <c:v>2008</c:v>
                </c:pt>
                <c:pt idx="2">
                  <c:v>2009</c:v>
                </c:pt>
                <c:pt idx="3">
                  <c:v>2010</c:v>
                </c:pt>
                <c:pt idx="4">
                  <c:v>2011</c:v>
                </c:pt>
                <c:pt idx="5">
                  <c:v>2012</c:v>
                </c:pt>
                <c:pt idx="6">
                  <c:v>2013</c:v>
                </c:pt>
                <c:pt idx="7">
                  <c:v>2014</c:v>
                </c:pt>
              </c:strCache>
            </c:strRef>
          </c:cat>
          <c:val>
            <c:numRef>
              <c:f>Ocupació!$H$20:$O$20</c:f>
              <c:numCache>
                <c:formatCode>General</c:formatCode>
                <c:ptCount val="8"/>
                <c:pt idx="0">
                  <c:v>22.2</c:v>
                </c:pt>
                <c:pt idx="1">
                  <c:v>23.3</c:v>
                </c:pt>
                <c:pt idx="2">
                  <c:v>21.7</c:v>
                </c:pt>
                <c:pt idx="3">
                  <c:v>21.3</c:v>
                </c:pt>
                <c:pt idx="4">
                  <c:v>21.5</c:v>
                </c:pt>
                <c:pt idx="5">
                  <c:v>20.9</c:v>
                </c:pt>
                <c:pt idx="6">
                  <c:v>20.2</c:v>
                </c:pt>
                <c:pt idx="7">
                  <c:v>20.5</c:v>
                </c:pt>
              </c:numCache>
            </c:numRef>
          </c:val>
          <c:smooth val="0"/>
        </c:ser>
        <c:dLbls>
          <c:showLegendKey val="0"/>
          <c:showVal val="0"/>
          <c:showCatName val="0"/>
          <c:showSerName val="0"/>
          <c:showPercent val="0"/>
          <c:showBubbleSize val="0"/>
        </c:dLbls>
        <c:marker val="1"/>
        <c:smooth val="0"/>
        <c:axId val="40495744"/>
        <c:axId val="40513920"/>
      </c:lineChart>
      <c:catAx>
        <c:axId val="40495744"/>
        <c:scaling>
          <c:orientation val="minMax"/>
        </c:scaling>
        <c:delete val="0"/>
        <c:axPos val="b"/>
        <c:majorTickMark val="none"/>
        <c:minorTickMark val="none"/>
        <c:tickLblPos val="nextTo"/>
        <c:crossAx val="40513920"/>
        <c:crosses val="autoZero"/>
        <c:auto val="1"/>
        <c:lblAlgn val="ctr"/>
        <c:lblOffset val="100"/>
        <c:noMultiLvlLbl val="0"/>
      </c:catAx>
      <c:valAx>
        <c:axId val="40513920"/>
        <c:scaling>
          <c:orientation val="minMax"/>
        </c:scaling>
        <c:delete val="0"/>
        <c:axPos val="l"/>
        <c:numFmt formatCode="General" sourceLinked="1"/>
        <c:majorTickMark val="none"/>
        <c:minorTickMark val="none"/>
        <c:tickLblPos val="nextTo"/>
        <c:crossAx val="40495744"/>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Ocupació!$C$30</c:f>
              <c:strCache>
                <c:ptCount val="1"/>
                <c:pt idx="0">
                  <c:v>Nacionalitat Espanyola</c:v>
                </c:pt>
              </c:strCache>
            </c:strRef>
          </c:tx>
          <c:dLbls>
            <c:dLblPos val="t"/>
            <c:showLegendKey val="0"/>
            <c:showVal val="1"/>
            <c:showCatName val="0"/>
            <c:showSerName val="0"/>
            <c:showPercent val="0"/>
            <c:showBubbleSize val="0"/>
            <c:showLeaderLines val="0"/>
          </c:dLbls>
          <c:cat>
            <c:strRef>
              <c:f>Ocupació!$B$31:$B$38</c:f>
              <c:strCache>
                <c:ptCount val="8"/>
                <c:pt idx="0">
                  <c:v>        2007</c:v>
                </c:pt>
                <c:pt idx="1">
                  <c:v>        2008</c:v>
                </c:pt>
                <c:pt idx="2">
                  <c:v>        2009</c:v>
                </c:pt>
                <c:pt idx="3">
                  <c:v>        2010</c:v>
                </c:pt>
                <c:pt idx="4">
                  <c:v>        2011</c:v>
                </c:pt>
                <c:pt idx="5">
                  <c:v>        2012</c:v>
                </c:pt>
                <c:pt idx="6">
                  <c:v>        2013</c:v>
                </c:pt>
                <c:pt idx="7">
                  <c:v>        2014</c:v>
                </c:pt>
              </c:strCache>
            </c:strRef>
          </c:cat>
          <c:val>
            <c:numRef>
              <c:f>Ocupació!$C$31:$C$38</c:f>
              <c:numCache>
                <c:formatCode>0.0%</c:formatCode>
                <c:ptCount val="8"/>
                <c:pt idx="0">
                  <c:v>0.73017786415410946</c:v>
                </c:pt>
                <c:pt idx="1">
                  <c:v>0.72313095588957665</c:v>
                </c:pt>
                <c:pt idx="2">
                  <c:v>0.67319955681400456</c:v>
                </c:pt>
                <c:pt idx="3">
                  <c:v>0.66340648268744062</c:v>
                </c:pt>
                <c:pt idx="4">
                  <c:v>0.66082962890193364</c:v>
                </c:pt>
                <c:pt idx="5">
                  <c:v>0.63600305486438913</c:v>
                </c:pt>
                <c:pt idx="6">
                  <c:v>0.63230028398567761</c:v>
                </c:pt>
                <c:pt idx="7">
                  <c:v>0.64963683368215286</c:v>
                </c:pt>
              </c:numCache>
            </c:numRef>
          </c:val>
          <c:smooth val="0"/>
        </c:ser>
        <c:ser>
          <c:idx val="1"/>
          <c:order val="1"/>
          <c:tx>
            <c:strRef>
              <c:f>Ocupació!$D$30</c:f>
              <c:strCache>
                <c:ptCount val="1"/>
                <c:pt idx="0">
                  <c:v>Nacionalitat Estrangera</c:v>
                </c:pt>
              </c:strCache>
            </c:strRef>
          </c:tx>
          <c:dLbls>
            <c:dLblPos val="b"/>
            <c:showLegendKey val="0"/>
            <c:showVal val="1"/>
            <c:showCatName val="0"/>
            <c:showSerName val="0"/>
            <c:showPercent val="0"/>
            <c:showBubbleSize val="0"/>
            <c:showLeaderLines val="0"/>
          </c:dLbls>
          <c:cat>
            <c:strRef>
              <c:f>Ocupació!$B$31:$B$38</c:f>
              <c:strCache>
                <c:ptCount val="8"/>
                <c:pt idx="0">
                  <c:v>        2007</c:v>
                </c:pt>
                <c:pt idx="1">
                  <c:v>        2008</c:v>
                </c:pt>
                <c:pt idx="2">
                  <c:v>        2009</c:v>
                </c:pt>
                <c:pt idx="3">
                  <c:v>        2010</c:v>
                </c:pt>
                <c:pt idx="4">
                  <c:v>        2011</c:v>
                </c:pt>
                <c:pt idx="5">
                  <c:v>        2012</c:v>
                </c:pt>
                <c:pt idx="6">
                  <c:v>        2013</c:v>
                </c:pt>
                <c:pt idx="7">
                  <c:v>        2014</c:v>
                </c:pt>
              </c:strCache>
            </c:strRef>
          </c:cat>
          <c:val>
            <c:numRef>
              <c:f>Ocupació!$D$31:$D$38</c:f>
              <c:numCache>
                <c:formatCode>0.0%</c:formatCode>
                <c:ptCount val="8"/>
                <c:pt idx="0">
                  <c:v>0.69582245430810874</c:v>
                </c:pt>
                <c:pt idx="1">
                  <c:v>0.66866224012191133</c:v>
                </c:pt>
                <c:pt idx="2">
                  <c:v>0.55995773903856361</c:v>
                </c:pt>
                <c:pt idx="3">
                  <c:v>0.56079027355624089</c:v>
                </c:pt>
                <c:pt idx="4">
                  <c:v>0.53763081718994365</c:v>
                </c:pt>
                <c:pt idx="5">
                  <c:v>0.48192493667972103</c:v>
                </c:pt>
                <c:pt idx="6">
                  <c:v>0.47835308796008125</c:v>
                </c:pt>
                <c:pt idx="7">
                  <c:v>0.50984743411928868</c:v>
                </c:pt>
              </c:numCache>
            </c:numRef>
          </c:val>
          <c:smooth val="0"/>
        </c:ser>
        <c:dLbls>
          <c:showLegendKey val="0"/>
          <c:showVal val="1"/>
          <c:showCatName val="0"/>
          <c:showSerName val="0"/>
          <c:showPercent val="0"/>
          <c:showBubbleSize val="0"/>
        </c:dLbls>
        <c:marker val="1"/>
        <c:smooth val="0"/>
        <c:axId val="40531456"/>
        <c:axId val="40532992"/>
      </c:lineChart>
      <c:catAx>
        <c:axId val="40531456"/>
        <c:scaling>
          <c:orientation val="minMax"/>
        </c:scaling>
        <c:delete val="0"/>
        <c:axPos val="b"/>
        <c:majorTickMark val="none"/>
        <c:minorTickMark val="none"/>
        <c:tickLblPos val="nextTo"/>
        <c:crossAx val="40532992"/>
        <c:crosses val="autoZero"/>
        <c:auto val="1"/>
        <c:lblAlgn val="ctr"/>
        <c:lblOffset val="100"/>
        <c:noMultiLvlLbl val="0"/>
      </c:catAx>
      <c:valAx>
        <c:axId val="40532992"/>
        <c:scaling>
          <c:orientation val="minMax"/>
        </c:scaling>
        <c:delete val="0"/>
        <c:axPos val="l"/>
        <c:numFmt formatCode="0.0%" sourceLinked="1"/>
        <c:majorTickMark val="none"/>
        <c:minorTickMark val="none"/>
        <c:tickLblPos val="nextTo"/>
        <c:crossAx val="40531456"/>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atur!$B$45</c:f>
              <c:strCache>
                <c:ptCount val="1"/>
                <c:pt idx="0">
                  <c:v>Catalunya</c:v>
                </c:pt>
              </c:strCache>
            </c:strRef>
          </c:tx>
          <c:cat>
            <c:strRef>
              <c:f>atur!$A$46:$A$53</c:f>
              <c:strCache>
                <c:ptCount val="8"/>
                <c:pt idx="0">
                  <c:v>     2007</c:v>
                </c:pt>
                <c:pt idx="1">
                  <c:v>     2008</c:v>
                </c:pt>
                <c:pt idx="2">
                  <c:v>     2009</c:v>
                </c:pt>
                <c:pt idx="3">
                  <c:v>     2010</c:v>
                </c:pt>
                <c:pt idx="4">
                  <c:v>     2011</c:v>
                </c:pt>
                <c:pt idx="5">
                  <c:v>     2012</c:v>
                </c:pt>
                <c:pt idx="6">
                  <c:v>     2013</c:v>
                </c:pt>
                <c:pt idx="7">
                  <c:v>     2014</c:v>
                </c:pt>
              </c:strCache>
            </c:strRef>
          </c:cat>
          <c:val>
            <c:numRef>
              <c:f>atur!$B$46:$B$53</c:f>
              <c:numCache>
                <c:formatCode>#,##0.00</c:formatCode>
                <c:ptCount val="8"/>
                <c:pt idx="0">
                  <c:v>6.5</c:v>
                </c:pt>
                <c:pt idx="1">
                  <c:v>8.93</c:v>
                </c:pt>
                <c:pt idx="2">
                  <c:v>16.309999999999999</c:v>
                </c:pt>
                <c:pt idx="3">
                  <c:v>17.79</c:v>
                </c:pt>
                <c:pt idx="4">
                  <c:v>19.309999999999999</c:v>
                </c:pt>
                <c:pt idx="5">
                  <c:v>22.67</c:v>
                </c:pt>
                <c:pt idx="6">
                  <c:v>23.24</c:v>
                </c:pt>
                <c:pt idx="7">
                  <c:v>20.439999999999987</c:v>
                </c:pt>
              </c:numCache>
            </c:numRef>
          </c:val>
          <c:smooth val="0"/>
        </c:ser>
        <c:ser>
          <c:idx val="1"/>
          <c:order val="1"/>
          <c:tx>
            <c:strRef>
              <c:f>atur!$C$45</c:f>
              <c:strCache>
                <c:ptCount val="1"/>
                <c:pt idx="0">
                  <c:v>Espanya</c:v>
                </c:pt>
              </c:strCache>
            </c:strRef>
          </c:tx>
          <c:cat>
            <c:strRef>
              <c:f>atur!$A$46:$A$53</c:f>
              <c:strCache>
                <c:ptCount val="8"/>
                <c:pt idx="0">
                  <c:v>     2007</c:v>
                </c:pt>
                <c:pt idx="1">
                  <c:v>     2008</c:v>
                </c:pt>
                <c:pt idx="2">
                  <c:v>     2009</c:v>
                </c:pt>
                <c:pt idx="3">
                  <c:v>     2010</c:v>
                </c:pt>
                <c:pt idx="4">
                  <c:v>     2011</c:v>
                </c:pt>
                <c:pt idx="5">
                  <c:v>     2012</c:v>
                </c:pt>
                <c:pt idx="6">
                  <c:v>     2013</c:v>
                </c:pt>
                <c:pt idx="7">
                  <c:v>     2014</c:v>
                </c:pt>
              </c:strCache>
            </c:strRef>
          </c:cat>
          <c:val>
            <c:numRef>
              <c:f>atur!$C$46:$C$53</c:f>
              <c:numCache>
                <c:formatCode>#,##0.00</c:formatCode>
                <c:ptCount val="8"/>
                <c:pt idx="0">
                  <c:v>8.2800000000000011</c:v>
                </c:pt>
                <c:pt idx="1">
                  <c:v>11.31</c:v>
                </c:pt>
                <c:pt idx="2">
                  <c:v>17.959999999999987</c:v>
                </c:pt>
                <c:pt idx="3">
                  <c:v>19.979999999999986</c:v>
                </c:pt>
                <c:pt idx="4">
                  <c:v>21.52</c:v>
                </c:pt>
                <c:pt idx="5">
                  <c:v>24.93</c:v>
                </c:pt>
                <c:pt idx="6">
                  <c:v>26.22</c:v>
                </c:pt>
                <c:pt idx="7">
                  <c:v>24.56</c:v>
                </c:pt>
              </c:numCache>
            </c:numRef>
          </c:val>
          <c:smooth val="0"/>
        </c:ser>
        <c:ser>
          <c:idx val="2"/>
          <c:order val="2"/>
          <c:tx>
            <c:strRef>
              <c:f>atur!$D$45</c:f>
              <c:strCache>
                <c:ptCount val="1"/>
                <c:pt idx="0">
                  <c:v>UE 27</c:v>
                </c:pt>
              </c:strCache>
            </c:strRef>
          </c:tx>
          <c:cat>
            <c:strRef>
              <c:f>atur!$A$46:$A$53</c:f>
              <c:strCache>
                <c:ptCount val="8"/>
                <c:pt idx="0">
                  <c:v>     2007</c:v>
                </c:pt>
                <c:pt idx="1">
                  <c:v>     2008</c:v>
                </c:pt>
                <c:pt idx="2">
                  <c:v>     2009</c:v>
                </c:pt>
                <c:pt idx="3">
                  <c:v>     2010</c:v>
                </c:pt>
                <c:pt idx="4">
                  <c:v>     2011</c:v>
                </c:pt>
                <c:pt idx="5">
                  <c:v>     2012</c:v>
                </c:pt>
                <c:pt idx="6">
                  <c:v>     2013</c:v>
                </c:pt>
                <c:pt idx="7">
                  <c:v>     2014</c:v>
                </c:pt>
              </c:strCache>
            </c:strRef>
          </c:cat>
          <c:val>
            <c:numRef>
              <c:f>atur!$D$46:$D$53</c:f>
              <c:numCache>
                <c:formatCode>0.0</c:formatCode>
                <c:ptCount val="8"/>
                <c:pt idx="0">
                  <c:v>7.2</c:v>
                </c:pt>
                <c:pt idx="1">
                  <c:v>7</c:v>
                </c:pt>
                <c:pt idx="2">
                  <c:v>8.9</c:v>
                </c:pt>
                <c:pt idx="3">
                  <c:v>9.6</c:v>
                </c:pt>
                <c:pt idx="4">
                  <c:v>9.7000000000000011</c:v>
                </c:pt>
                <c:pt idx="5">
                  <c:v>10.5</c:v>
                </c:pt>
                <c:pt idx="6">
                  <c:v>10.8</c:v>
                </c:pt>
                <c:pt idx="7">
                  <c:v>10.200000000000001</c:v>
                </c:pt>
              </c:numCache>
            </c:numRef>
          </c:val>
          <c:smooth val="0"/>
        </c:ser>
        <c:dLbls>
          <c:showLegendKey val="0"/>
          <c:showVal val="0"/>
          <c:showCatName val="0"/>
          <c:showSerName val="0"/>
          <c:showPercent val="0"/>
          <c:showBubbleSize val="0"/>
        </c:dLbls>
        <c:marker val="1"/>
        <c:smooth val="0"/>
        <c:axId val="40563072"/>
        <c:axId val="40564608"/>
      </c:lineChart>
      <c:catAx>
        <c:axId val="40563072"/>
        <c:scaling>
          <c:orientation val="minMax"/>
        </c:scaling>
        <c:delete val="0"/>
        <c:axPos val="b"/>
        <c:majorTickMark val="none"/>
        <c:minorTickMark val="none"/>
        <c:tickLblPos val="nextTo"/>
        <c:crossAx val="40564608"/>
        <c:crosses val="autoZero"/>
        <c:auto val="1"/>
        <c:lblAlgn val="ctr"/>
        <c:lblOffset val="100"/>
        <c:noMultiLvlLbl val="0"/>
      </c:catAx>
      <c:valAx>
        <c:axId val="40564608"/>
        <c:scaling>
          <c:orientation val="minMax"/>
        </c:scaling>
        <c:delete val="0"/>
        <c:axPos val="l"/>
        <c:majorGridlines/>
        <c:numFmt formatCode="#,##0.00" sourceLinked="1"/>
        <c:majorTickMark val="none"/>
        <c:minorTickMark val="none"/>
        <c:tickLblPos val="nextTo"/>
        <c:crossAx val="405630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atur!$C$18</c:f>
              <c:strCache>
                <c:ptCount val="1"/>
                <c:pt idx="0">
                  <c:v>Homes </c:v>
                </c:pt>
              </c:strCache>
            </c:strRef>
          </c:tx>
          <c:dLbls>
            <c:dLbl>
              <c:idx val="0"/>
              <c:layout>
                <c:manualLayout>
                  <c:x val="0"/>
                  <c:y val="9.2592592592594766E-2"/>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atur!$A$19:$A$26</c:f>
              <c:strCache>
                <c:ptCount val="8"/>
                <c:pt idx="0">
                  <c:v>     2007</c:v>
                </c:pt>
                <c:pt idx="1">
                  <c:v>     2008</c:v>
                </c:pt>
                <c:pt idx="2">
                  <c:v>     2009</c:v>
                </c:pt>
                <c:pt idx="3">
                  <c:v>     2010</c:v>
                </c:pt>
                <c:pt idx="4">
                  <c:v>     2011</c:v>
                </c:pt>
                <c:pt idx="5">
                  <c:v>     2012</c:v>
                </c:pt>
                <c:pt idx="6">
                  <c:v>     2013</c:v>
                </c:pt>
                <c:pt idx="7">
                  <c:v>     2014</c:v>
                </c:pt>
              </c:strCache>
            </c:strRef>
          </c:cat>
          <c:val>
            <c:numRef>
              <c:f>atur!$C$19:$C$26</c:f>
              <c:numCache>
                <c:formatCode>#,##0.0</c:formatCode>
                <c:ptCount val="8"/>
                <c:pt idx="0">
                  <c:v>5.6199999999999966</c:v>
                </c:pt>
                <c:pt idx="1">
                  <c:v>9.1</c:v>
                </c:pt>
                <c:pt idx="2">
                  <c:v>17.32</c:v>
                </c:pt>
                <c:pt idx="3">
                  <c:v>18.73</c:v>
                </c:pt>
                <c:pt idx="4">
                  <c:v>19.93</c:v>
                </c:pt>
                <c:pt idx="5">
                  <c:v>23.35</c:v>
                </c:pt>
                <c:pt idx="6">
                  <c:v>23.82</c:v>
                </c:pt>
                <c:pt idx="7">
                  <c:v>20.77</c:v>
                </c:pt>
              </c:numCache>
            </c:numRef>
          </c:val>
          <c:smooth val="0"/>
        </c:ser>
        <c:ser>
          <c:idx val="1"/>
          <c:order val="1"/>
          <c:tx>
            <c:strRef>
              <c:f>atur!$D$18</c:f>
              <c:strCache>
                <c:ptCount val="1"/>
                <c:pt idx="0">
                  <c:v>Dones</c:v>
                </c:pt>
              </c:strCache>
            </c:strRef>
          </c:tx>
          <c:dLbls>
            <c:dLbl>
              <c:idx val="0"/>
              <c:layout>
                <c:manualLayout>
                  <c:x val="2.777777777777888E-3"/>
                  <c:y val="-0.11111184018664352"/>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atur!$A$19:$A$26</c:f>
              <c:strCache>
                <c:ptCount val="8"/>
                <c:pt idx="0">
                  <c:v>     2007</c:v>
                </c:pt>
                <c:pt idx="1">
                  <c:v>     2008</c:v>
                </c:pt>
                <c:pt idx="2">
                  <c:v>     2009</c:v>
                </c:pt>
                <c:pt idx="3">
                  <c:v>     2010</c:v>
                </c:pt>
                <c:pt idx="4">
                  <c:v>     2011</c:v>
                </c:pt>
                <c:pt idx="5">
                  <c:v>     2012</c:v>
                </c:pt>
                <c:pt idx="6">
                  <c:v>     2013</c:v>
                </c:pt>
                <c:pt idx="7">
                  <c:v>     2014</c:v>
                </c:pt>
              </c:strCache>
            </c:strRef>
          </c:cat>
          <c:val>
            <c:numRef>
              <c:f>atur!$D$19:$D$26</c:f>
              <c:numCache>
                <c:formatCode>#,##0.0</c:formatCode>
                <c:ptCount val="8"/>
                <c:pt idx="0">
                  <c:v>7.6599999999999975</c:v>
                </c:pt>
                <c:pt idx="1">
                  <c:v>8.7299999999999986</c:v>
                </c:pt>
                <c:pt idx="2">
                  <c:v>15.06</c:v>
                </c:pt>
                <c:pt idx="3">
                  <c:v>16.64</c:v>
                </c:pt>
                <c:pt idx="4">
                  <c:v>18.57</c:v>
                </c:pt>
                <c:pt idx="5">
                  <c:v>21.87</c:v>
                </c:pt>
                <c:pt idx="6">
                  <c:v>22.59</c:v>
                </c:pt>
                <c:pt idx="7">
                  <c:v>20.07</c:v>
                </c:pt>
              </c:numCache>
            </c:numRef>
          </c:val>
          <c:smooth val="0"/>
        </c:ser>
        <c:dLbls>
          <c:showLegendKey val="0"/>
          <c:showVal val="0"/>
          <c:showCatName val="0"/>
          <c:showSerName val="0"/>
          <c:showPercent val="0"/>
          <c:showBubbleSize val="0"/>
        </c:dLbls>
        <c:marker val="1"/>
        <c:smooth val="0"/>
        <c:axId val="41058688"/>
        <c:axId val="41060224"/>
      </c:lineChart>
      <c:catAx>
        <c:axId val="41058688"/>
        <c:scaling>
          <c:orientation val="minMax"/>
        </c:scaling>
        <c:delete val="0"/>
        <c:axPos val="b"/>
        <c:majorTickMark val="none"/>
        <c:minorTickMark val="none"/>
        <c:tickLblPos val="nextTo"/>
        <c:crossAx val="41060224"/>
        <c:crosses val="autoZero"/>
        <c:auto val="1"/>
        <c:lblAlgn val="ctr"/>
        <c:lblOffset val="100"/>
        <c:noMultiLvlLbl val="0"/>
      </c:catAx>
      <c:valAx>
        <c:axId val="41060224"/>
        <c:scaling>
          <c:orientation val="minMax"/>
        </c:scaling>
        <c:delete val="1"/>
        <c:axPos val="l"/>
        <c:numFmt formatCode="#,##0.0" sourceLinked="1"/>
        <c:majorTickMark val="none"/>
        <c:minorTickMark val="none"/>
        <c:tickLblPos val="none"/>
        <c:crossAx val="41058688"/>
        <c:crosses val="autoZero"/>
        <c:crossBetween val="between"/>
      </c:valAx>
    </c:plotArea>
    <c:legend>
      <c:legendPos val="b"/>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atur!$G$25</c:f>
              <c:strCache>
                <c:ptCount val="1"/>
                <c:pt idx="0">
                  <c:v>16 a 24 anys</c:v>
                </c:pt>
              </c:strCache>
            </c:strRef>
          </c:tx>
          <c:dLbls>
            <c:dLblPos val="t"/>
            <c:showLegendKey val="0"/>
            <c:showVal val="1"/>
            <c:showCatName val="0"/>
            <c:showSerName val="0"/>
            <c:showPercent val="0"/>
            <c:showBubbleSize val="0"/>
            <c:showLeaderLines val="0"/>
          </c:dLbls>
          <c:cat>
            <c:strRef>
              <c:f>atur!$H$24:$O$24</c:f>
              <c:strCache>
                <c:ptCount val="8"/>
                <c:pt idx="0">
                  <c:v>2007</c:v>
                </c:pt>
                <c:pt idx="1">
                  <c:v>2008</c:v>
                </c:pt>
                <c:pt idx="2">
                  <c:v>2009</c:v>
                </c:pt>
                <c:pt idx="3">
                  <c:v>2010</c:v>
                </c:pt>
                <c:pt idx="4">
                  <c:v>2011</c:v>
                </c:pt>
                <c:pt idx="5">
                  <c:v>2012</c:v>
                </c:pt>
                <c:pt idx="6">
                  <c:v>2013</c:v>
                </c:pt>
                <c:pt idx="7">
                  <c:v>2014</c:v>
                </c:pt>
              </c:strCache>
            </c:strRef>
          </c:cat>
          <c:val>
            <c:numRef>
              <c:f>atur!$H$25:$O$25</c:f>
              <c:numCache>
                <c:formatCode>General</c:formatCode>
                <c:ptCount val="8"/>
                <c:pt idx="0">
                  <c:v>13.4</c:v>
                </c:pt>
                <c:pt idx="1">
                  <c:v>20.100000000000001</c:v>
                </c:pt>
                <c:pt idx="2">
                  <c:v>36.9</c:v>
                </c:pt>
                <c:pt idx="3">
                  <c:v>39.1</c:v>
                </c:pt>
                <c:pt idx="4">
                  <c:v>43.8</c:v>
                </c:pt>
                <c:pt idx="5">
                  <c:v>50.4</c:v>
                </c:pt>
                <c:pt idx="6">
                  <c:v>50.2</c:v>
                </c:pt>
                <c:pt idx="7">
                  <c:v>47.1</c:v>
                </c:pt>
              </c:numCache>
            </c:numRef>
          </c:val>
          <c:smooth val="0"/>
        </c:ser>
        <c:ser>
          <c:idx val="1"/>
          <c:order val="1"/>
          <c:tx>
            <c:strRef>
              <c:f>atur!$G$26</c:f>
              <c:strCache>
                <c:ptCount val="1"/>
                <c:pt idx="0">
                  <c:v>25 a 54 anys</c:v>
                </c:pt>
              </c:strCache>
            </c:strRef>
          </c:tx>
          <c:dLbls>
            <c:dLblPos val="t"/>
            <c:showLegendKey val="0"/>
            <c:showVal val="1"/>
            <c:showCatName val="0"/>
            <c:showSerName val="0"/>
            <c:showPercent val="0"/>
            <c:showBubbleSize val="0"/>
            <c:showLeaderLines val="0"/>
          </c:dLbls>
          <c:cat>
            <c:strRef>
              <c:f>atur!$H$24:$O$24</c:f>
              <c:strCache>
                <c:ptCount val="8"/>
                <c:pt idx="0">
                  <c:v>2007</c:v>
                </c:pt>
                <c:pt idx="1">
                  <c:v>2008</c:v>
                </c:pt>
                <c:pt idx="2">
                  <c:v>2009</c:v>
                </c:pt>
                <c:pt idx="3">
                  <c:v>2010</c:v>
                </c:pt>
                <c:pt idx="4">
                  <c:v>2011</c:v>
                </c:pt>
                <c:pt idx="5">
                  <c:v>2012</c:v>
                </c:pt>
                <c:pt idx="6">
                  <c:v>2013</c:v>
                </c:pt>
                <c:pt idx="7">
                  <c:v>2014</c:v>
                </c:pt>
              </c:strCache>
            </c:strRef>
          </c:cat>
          <c:val>
            <c:numRef>
              <c:f>atur!$H$26:$O$26</c:f>
              <c:numCache>
                <c:formatCode>General</c:formatCode>
                <c:ptCount val="8"/>
                <c:pt idx="0">
                  <c:v>5.8</c:v>
                </c:pt>
                <c:pt idx="1">
                  <c:v>8.1</c:v>
                </c:pt>
                <c:pt idx="2">
                  <c:v>14.7</c:v>
                </c:pt>
                <c:pt idx="3">
                  <c:v>16.100000000000001</c:v>
                </c:pt>
                <c:pt idx="4">
                  <c:v>17.5</c:v>
                </c:pt>
                <c:pt idx="5">
                  <c:v>20.8</c:v>
                </c:pt>
                <c:pt idx="6">
                  <c:v>21.4</c:v>
                </c:pt>
                <c:pt idx="7">
                  <c:v>18.3</c:v>
                </c:pt>
              </c:numCache>
            </c:numRef>
          </c:val>
          <c:smooth val="0"/>
        </c:ser>
        <c:ser>
          <c:idx val="2"/>
          <c:order val="2"/>
          <c:tx>
            <c:strRef>
              <c:f>atur!$G$27</c:f>
              <c:strCache>
                <c:ptCount val="1"/>
                <c:pt idx="0">
                  <c:v>55 i més anys</c:v>
                </c:pt>
              </c:strCache>
            </c:strRef>
          </c:tx>
          <c:dLbls>
            <c:dLbl>
              <c:idx val="0"/>
              <c:layout>
                <c:manualLayout>
                  <c:x val="1.9444444444444445E-2"/>
                  <c:y val="-3.2407407407408148E-2"/>
                </c:manualLayout>
              </c:layout>
              <c:dLblPos val="b"/>
              <c:showLegendKey val="0"/>
              <c:showVal val="1"/>
              <c:showCatName val="0"/>
              <c:showSerName val="0"/>
              <c:showPercent val="0"/>
              <c:showBubbleSize val="0"/>
            </c:dLbl>
            <c:dLbl>
              <c:idx val="1"/>
              <c:layout>
                <c:manualLayout>
                  <c:x val="3.0555555555555582E-2"/>
                  <c:y val="-3.2407407407408079E-2"/>
                </c:manualLayout>
              </c:layout>
              <c:dLblPos val="b"/>
              <c:showLegendKey val="0"/>
              <c:showVal val="1"/>
              <c:showCatName val="0"/>
              <c:showSerName val="0"/>
              <c:showPercent val="0"/>
              <c:showBubbleSize val="0"/>
            </c:dLbl>
            <c:dLbl>
              <c:idx val="2"/>
              <c:layout>
                <c:manualLayout>
                  <c:x val="1.3888888888889176E-2"/>
                  <c:y val="-1.8518518518518583E-2"/>
                </c:manualLayout>
              </c:layout>
              <c:dLblPos val="b"/>
              <c:showLegendKey val="0"/>
              <c:showVal val="1"/>
              <c:showCatName val="0"/>
              <c:showSerName val="0"/>
              <c:showPercent val="0"/>
              <c:showBubbleSize val="0"/>
            </c:dLbl>
            <c:dLbl>
              <c:idx val="3"/>
              <c:layout>
                <c:manualLayout>
                  <c:x val="1.9444444444444445E-2"/>
                  <c:y val="-1.8518518518518583E-2"/>
                </c:manualLayout>
              </c:layout>
              <c:dLblPos val="b"/>
              <c:showLegendKey val="0"/>
              <c:showVal val="1"/>
              <c:showCatName val="0"/>
              <c:showSerName val="0"/>
              <c:showPercent val="0"/>
              <c:showBubbleSize val="0"/>
            </c:dLbl>
            <c:dLbl>
              <c:idx val="4"/>
              <c:layout>
                <c:manualLayout>
                  <c:x val="1.6666666666666701E-2"/>
                  <c:y val="-1.3888888888889096E-2"/>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atur!$H$24:$O$24</c:f>
              <c:strCache>
                <c:ptCount val="8"/>
                <c:pt idx="0">
                  <c:v>2007</c:v>
                </c:pt>
                <c:pt idx="1">
                  <c:v>2008</c:v>
                </c:pt>
                <c:pt idx="2">
                  <c:v>2009</c:v>
                </c:pt>
                <c:pt idx="3">
                  <c:v>2010</c:v>
                </c:pt>
                <c:pt idx="4">
                  <c:v>2011</c:v>
                </c:pt>
                <c:pt idx="5">
                  <c:v>2012</c:v>
                </c:pt>
                <c:pt idx="6">
                  <c:v>2013</c:v>
                </c:pt>
                <c:pt idx="7">
                  <c:v>2014</c:v>
                </c:pt>
              </c:strCache>
            </c:strRef>
          </c:cat>
          <c:val>
            <c:numRef>
              <c:f>atur!$H$27:$O$27</c:f>
              <c:numCache>
                <c:formatCode>General</c:formatCode>
                <c:ptCount val="8"/>
                <c:pt idx="0">
                  <c:v>5</c:v>
                </c:pt>
                <c:pt idx="1">
                  <c:v>4.8</c:v>
                </c:pt>
                <c:pt idx="2">
                  <c:v>10</c:v>
                </c:pt>
                <c:pt idx="3">
                  <c:v>12.3</c:v>
                </c:pt>
                <c:pt idx="4">
                  <c:v>13.1</c:v>
                </c:pt>
                <c:pt idx="5">
                  <c:v>15.9</c:v>
                </c:pt>
                <c:pt idx="6">
                  <c:v>17.5</c:v>
                </c:pt>
                <c:pt idx="7">
                  <c:v>17.100000000000001</c:v>
                </c:pt>
              </c:numCache>
            </c:numRef>
          </c:val>
          <c:smooth val="0"/>
        </c:ser>
        <c:dLbls>
          <c:showLegendKey val="0"/>
          <c:showVal val="0"/>
          <c:showCatName val="0"/>
          <c:showSerName val="0"/>
          <c:showPercent val="0"/>
          <c:showBubbleSize val="0"/>
        </c:dLbls>
        <c:marker val="1"/>
        <c:smooth val="0"/>
        <c:axId val="41100032"/>
        <c:axId val="41101568"/>
      </c:lineChart>
      <c:catAx>
        <c:axId val="41100032"/>
        <c:scaling>
          <c:orientation val="minMax"/>
        </c:scaling>
        <c:delete val="0"/>
        <c:axPos val="b"/>
        <c:majorTickMark val="none"/>
        <c:minorTickMark val="none"/>
        <c:tickLblPos val="nextTo"/>
        <c:crossAx val="41101568"/>
        <c:crosses val="autoZero"/>
        <c:auto val="1"/>
        <c:lblAlgn val="ctr"/>
        <c:lblOffset val="100"/>
        <c:noMultiLvlLbl val="0"/>
      </c:catAx>
      <c:valAx>
        <c:axId val="41101568"/>
        <c:scaling>
          <c:orientation val="minMax"/>
        </c:scaling>
        <c:delete val="0"/>
        <c:axPos val="l"/>
        <c:numFmt formatCode="General" sourceLinked="1"/>
        <c:majorTickMark val="none"/>
        <c:minorTickMark val="none"/>
        <c:tickLblPos val="nextTo"/>
        <c:crossAx val="41100032"/>
        <c:crosses val="autoZero"/>
        <c:crossBetween val="between"/>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atur!$H$36</c:f>
              <c:strCache>
                <c:ptCount val="1"/>
                <c:pt idx="0">
                  <c:v>Nacionalitat Espanyola</c:v>
                </c:pt>
              </c:strCache>
            </c:strRef>
          </c:tx>
          <c:dLbls>
            <c:dLbl>
              <c:idx val="0"/>
              <c:layout>
                <c:manualLayout>
                  <c:x val="0"/>
                  <c:y val="-9.2592592592595259E-3"/>
                </c:manualLayout>
              </c:layout>
              <c:dLblPos val="b"/>
              <c:showLegendKey val="0"/>
              <c:showVal val="1"/>
              <c:showCatName val="0"/>
              <c:showSerName val="0"/>
              <c:showPercent val="0"/>
              <c:showBubbleSize val="0"/>
            </c:dLbl>
            <c:dLbl>
              <c:idx val="1"/>
              <c:layout>
                <c:manualLayout>
                  <c:x val="0"/>
                  <c:y val="-9.2592592592595259E-3"/>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atur!$G$37:$G$44</c:f>
              <c:strCache>
                <c:ptCount val="8"/>
                <c:pt idx="0">
                  <c:v>     2007</c:v>
                </c:pt>
                <c:pt idx="1">
                  <c:v>     2008</c:v>
                </c:pt>
                <c:pt idx="2">
                  <c:v>     2009</c:v>
                </c:pt>
                <c:pt idx="3">
                  <c:v>     2010</c:v>
                </c:pt>
                <c:pt idx="4">
                  <c:v>     2011</c:v>
                </c:pt>
                <c:pt idx="5">
                  <c:v>     2012</c:v>
                </c:pt>
                <c:pt idx="6">
                  <c:v>     2013</c:v>
                </c:pt>
                <c:pt idx="7">
                  <c:v>     2014</c:v>
                </c:pt>
              </c:strCache>
            </c:strRef>
          </c:cat>
          <c:val>
            <c:numRef>
              <c:f>atur!$H$37:$H$44</c:f>
              <c:numCache>
                <c:formatCode>#,##0.0</c:formatCode>
                <c:ptCount val="8"/>
                <c:pt idx="0">
                  <c:v>5.38</c:v>
                </c:pt>
                <c:pt idx="1">
                  <c:v>7.17</c:v>
                </c:pt>
                <c:pt idx="2">
                  <c:v>13.25</c:v>
                </c:pt>
                <c:pt idx="3">
                  <c:v>14.79</c:v>
                </c:pt>
                <c:pt idx="4">
                  <c:v>15.76</c:v>
                </c:pt>
                <c:pt idx="5">
                  <c:v>19</c:v>
                </c:pt>
                <c:pt idx="6">
                  <c:v>19.86</c:v>
                </c:pt>
                <c:pt idx="7">
                  <c:v>17.77</c:v>
                </c:pt>
              </c:numCache>
            </c:numRef>
          </c:val>
          <c:smooth val="0"/>
        </c:ser>
        <c:ser>
          <c:idx val="1"/>
          <c:order val="1"/>
          <c:tx>
            <c:strRef>
              <c:f>atur!$I$36</c:f>
              <c:strCache>
                <c:ptCount val="1"/>
                <c:pt idx="0">
                  <c:v>Nacionalitat Estrangera</c:v>
                </c:pt>
              </c:strCache>
            </c:strRef>
          </c:tx>
          <c:dLbls>
            <c:dLblPos val="t"/>
            <c:showLegendKey val="0"/>
            <c:showVal val="1"/>
            <c:showCatName val="0"/>
            <c:showSerName val="0"/>
            <c:showPercent val="0"/>
            <c:showBubbleSize val="0"/>
            <c:showLeaderLines val="0"/>
          </c:dLbls>
          <c:cat>
            <c:strRef>
              <c:f>atur!$G$37:$G$44</c:f>
              <c:strCache>
                <c:ptCount val="8"/>
                <c:pt idx="0">
                  <c:v>     2007</c:v>
                </c:pt>
                <c:pt idx="1">
                  <c:v>     2008</c:v>
                </c:pt>
                <c:pt idx="2">
                  <c:v>     2009</c:v>
                </c:pt>
                <c:pt idx="3">
                  <c:v>     2010</c:v>
                </c:pt>
                <c:pt idx="4">
                  <c:v>     2011</c:v>
                </c:pt>
                <c:pt idx="5">
                  <c:v>     2012</c:v>
                </c:pt>
                <c:pt idx="6">
                  <c:v>     2013</c:v>
                </c:pt>
                <c:pt idx="7">
                  <c:v>     2014</c:v>
                </c:pt>
              </c:strCache>
            </c:strRef>
          </c:cat>
          <c:val>
            <c:numRef>
              <c:f>atur!$I$37:$I$44</c:f>
              <c:numCache>
                <c:formatCode>#,##0.0</c:formatCode>
                <c:ptCount val="8"/>
                <c:pt idx="0">
                  <c:v>11.65</c:v>
                </c:pt>
                <c:pt idx="1">
                  <c:v>16.36</c:v>
                </c:pt>
                <c:pt idx="2">
                  <c:v>28.8</c:v>
                </c:pt>
                <c:pt idx="3">
                  <c:v>30.04</c:v>
                </c:pt>
                <c:pt idx="4">
                  <c:v>34.020000000000003</c:v>
                </c:pt>
                <c:pt idx="5">
                  <c:v>38.96</c:v>
                </c:pt>
                <c:pt idx="6">
                  <c:v>39.660000000000011</c:v>
                </c:pt>
                <c:pt idx="7">
                  <c:v>34.910000000000004</c:v>
                </c:pt>
              </c:numCache>
            </c:numRef>
          </c:val>
          <c:smooth val="0"/>
        </c:ser>
        <c:dLbls>
          <c:showLegendKey val="0"/>
          <c:showVal val="0"/>
          <c:showCatName val="0"/>
          <c:showSerName val="0"/>
          <c:showPercent val="0"/>
          <c:showBubbleSize val="0"/>
        </c:dLbls>
        <c:marker val="1"/>
        <c:smooth val="0"/>
        <c:axId val="41143680"/>
        <c:axId val="41153664"/>
      </c:lineChart>
      <c:catAx>
        <c:axId val="41143680"/>
        <c:scaling>
          <c:orientation val="minMax"/>
        </c:scaling>
        <c:delete val="0"/>
        <c:axPos val="b"/>
        <c:majorTickMark val="out"/>
        <c:minorTickMark val="none"/>
        <c:tickLblPos val="nextTo"/>
        <c:crossAx val="41153664"/>
        <c:crosses val="autoZero"/>
        <c:auto val="1"/>
        <c:lblAlgn val="ctr"/>
        <c:lblOffset val="100"/>
        <c:noMultiLvlLbl val="0"/>
      </c:catAx>
      <c:valAx>
        <c:axId val="41153664"/>
        <c:scaling>
          <c:orientation val="minMax"/>
        </c:scaling>
        <c:delete val="1"/>
        <c:axPos val="l"/>
        <c:numFmt formatCode="#,##0.0" sourceLinked="1"/>
        <c:majorTickMark val="out"/>
        <c:minorTickMark val="none"/>
        <c:tickLblPos val="none"/>
        <c:crossAx val="41143680"/>
        <c:crosses val="autoZero"/>
        <c:crossBetween val="between"/>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dLblPos val="t"/>
            <c:showLegendKey val="0"/>
            <c:showVal val="1"/>
            <c:showCatName val="0"/>
            <c:showSerName val="0"/>
            <c:showPercent val="0"/>
            <c:showBubbleSize val="0"/>
            <c:showLeaderLines val="0"/>
          </c:dLbls>
          <c:cat>
            <c:strRef>
              <c:f>atur!$H$131:$H$138</c:f>
              <c:strCache>
                <c:ptCount val="8"/>
                <c:pt idx="0">
                  <c:v>2007</c:v>
                </c:pt>
                <c:pt idx="1">
                  <c:v>2008</c:v>
                </c:pt>
                <c:pt idx="2">
                  <c:v>2009</c:v>
                </c:pt>
                <c:pt idx="3">
                  <c:v>2010</c:v>
                </c:pt>
                <c:pt idx="4">
                  <c:v>2011</c:v>
                </c:pt>
                <c:pt idx="5">
                  <c:v>2012</c:v>
                </c:pt>
                <c:pt idx="6">
                  <c:v>2013</c:v>
                </c:pt>
                <c:pt idx="7">
                  <c:v>2014</c:v>
                </c:pt>
              </c:strCache>
            </c:strRef>
          </c:cat>
          <c:val>
            <c:numRef>
              <c:f>atur!$I$131:$I$138</c:f>
              <c:numCache>
                <c:formatCode>0.0%</c:formatCode>
                <c:ptCount val="8"/>
                <c:pt idx="0">
                  <c:v>0.22181818181818191</c:v>
                </c:pt>
                <c:pt idx="1">
                  <c:v>0.18449656750572213</c:v>
                </c:pt>
                <c:pt idx="2">
                  <c:v>0.2614225153085275</c:v>
                </c:pt>
                <c:pt idx="3">
                  <c:v>0.44179704320367424</c:v>
                </c:pt>
                <c:pt idx="4">
                  <c:v>0.49394736842105258</c:v>
                </c:pt>
                <c:pt idx="5">
                  <c:v>0.53446122402633944</c:v>
                </c:pt>
                <c:pt idx="6">
                  <c:v>0.5734437975817287</c:v>
                </c:pt>
                <c:pt idx="7">
                  <c:v>0.60506918401655252</c:v>
                </c:pt>
              </c:numCache>
            </c:numRef>
          </c:val>
          <c:smooth val="0"/>
        </c:ser>
        <c:dLbls>
          <c:showLegendKey val="0"/>
          <c:showVal val="1"/>
          <c:showCatName val="0"/>
          <c:showSerName val="0"/>
          <c:showPercent val="0"/>
          <c:showBubbleSize val="0"/>
        </c:dLbls>
        <c:marker val="1"/>
        <c:smooth val="0"/>
        <c:axId val="43279488"/>
        <c:axId val="43281024"/>
      </c:lineChart>
      <c:catAx>
        <c:axId val="43279488"/>
        <c:scaling>
          <c:orientation val="minMax"/>
        </c:scaling>
        <c:delete val="0"/>
        <c:axPos val="b"/>
        <c:majorTickMark val="none"/>
        <c:minorTickMark val="none"/>
        <c:tickLblPos val="nextTo"/>
        <c:crossAx val="43281024"/>
        <c:crosses val="autoZero"/>
        <c:auto val="1"/>
        <c:lblAlgn val="ctr"/>
        <c:lblOffset val="100"/>
        <c:noMultiLvlLbl val="0"/>
      </c:catAx>
      <c:valAx>
        <c:axId val="43281024"/>
        <c:scaling>
          <c:orientation val="minMax"/>
        </c:scaling>
        <c:delete val="1"/>
        <c:axPos val="l"/>
        <c:numFmt formatCode="0.0%" sourceLinked="1"/>
        <c:majorTickMark val="out"/>
        <c:minorTickMark val="none"/>
        <c:tickLblPos val="none"/>
        <c:crossAx val="4327948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dLbls>
            <c:txPr>
              <a:bodyPr/>
              <a:lstStyle/>
              <a:p>
                <a:pPr>
                  <a:defRPr lang="ca-ES" sz="900"/>
                </a:pPr>
                <a:endParaRPr lang="ca-ES"/>
              </a:p>
            </c:txPr>
            <c:dLblPos val="t"/>
            <c:showLegendKey val="0"/>
            <c:showVal val="1"/>
            <c:showCatName val="0"/>
            <c:showSerName val="0"/>
            <c:showPercent val="0"/>
            <c:showBubbleSize val="0"/>
            <c:showLeaderLines val="0"/>
          </c:dLbls>
          <c:cat>
            <c:strRef>
              <c:f>atur!$A$6:$A$13</c:f>
              <c:strCache>
                <c:ptCount val="8"/>
                <c:pt idx="0">
                  <c:v>        2007</c:v>
                </c:pt>
                <c:pt idx="1">
                  <c:v>        2008</c:v>
                </c:pt>
                <c:pt idx="2">
                  <c:v>        2009</c:v>
                </c:pt>
                <c:pt idx="3">
                  <c:v>        2010</c:v>
                </c:pt>
                <c:pt idx="4">
                  <c:v>        2011</c:v>
                </c:pt>
                <c:pt idx="5">
                  <c:v>        2012</c:v>
                </c:pt>
                <c:pt idx="6">
                  <c:v>        2013</c:v>
                </c:pt>
                <c:pt idx="7">
                  <c:v>        2014</c:v>
                </c:pt>
              </c:strCache>
            </c:strRef>
          </c:cat>
          <c:val>
            <c:numRef>
              <c:f>atur!$D$6:$D$13</c:f>
              <c:numCache>
                <c:formatCode>0.0%</c:formatCode>
                <c:ptCount val="8"/>
                <c:pt idx="0">
                  <c:v>0.23191919191919574</c:v>
                </c:pt>
                <c:pt idx="1">
                  <c:v>0.25715102974828374</c:v>
                </c:pt>
                <c:pt idx="2">
                  <c:v>0.34102684879887502</c:v>
                </c:pt>
                <c:pt idx="3">
                  <c:v>0.35653796469068488</c:v>
                </c:pt>
                <c:pt idx="4">
                  <c:v>0.38552631578948643</c:v>
                </c:pt>
                <c:pt idx="5">
                  <c:v>0.42568411490859537</c:v>
                </c:pt>
                <c:pt idx="6">
                  <c:v>0.42991491267353332</c:v>
                </c:pt>
                <c:pt idx="7">
                  <c:v>0.42583732057416285</c:v>
                </c:pt>
              </c:numCache>
            </c:numRef>
          </c:val>
          <c:smooth val="0"/>
        </c:ser>
        <c:dLbls>
          <c:showLegendKey val="0"/>
          <c:showVal val="1"/>
          <c:showCatName val="0"/>
          <c:showSerName val="0"/>
          <c:showPercent val="0"/>
          <c:showBubbleSize val="0"/>
        </c:dLbls>
        <c:marker val="1"/>
        <c:smooth val="0"/>
        <c:axId val="43292928"/>
        <c:axId val="43294720"/>
      </c:lineChart>
      <c:catAx>
        <c:axId val="43292928"/>
        <c:scaling>
          <c:orientation val="minMax"/>
        </c:scaling>
        <c:delete val="0"/>
        <c:axPos val="b"/>
        <c:majorTickMark val="none"/>
        <c:minorTickMark val="none"/>
        <c:tickLblPos val="nextTo"/>
        <c:txPr>
          <a:bodyPr/>
          <a:lstStyle/>
          <a:p>
            <a:pPr>
              <a:defRPr lang="ca-ES"/>
            </a:pPr>
            <a:endParaRPr lang="ca-ES"/>
          </a:p>
        </c:txPr>
        <c:crossAx val="43294720"/>
        <c:crosses val="autoZero"/>
        <c:auto val="1"/>
        <c:lblAlgn val="ctr"/>
        <c:lblOffset val="100"/>
        <c:noMultiLvlLbl val="0"/>
      </c:catAx>
      <c:valAx>
        <c:axId val="43294720"/>
        <c:scaling>
          <c:orientation val="minMax"/>
        </c:scaling>
        <c:delete val="0"/>
        <c:axPos val="l"/>
        <c:numFmt formatCode="0.0%" sourceLinked="1"/>
        <c:majorTickMark val="none"/>
        <c:minorTickMark val="none"/>
        <c:tickLblPos val="nextTo"/>
        <c:txPr>
          <a:bodyPr/>
          <a:lstStyle/>
          <a:p>
            <a:pPr>
              <a:defRPr lang="ca-ES"/>
            </a:pPr>
            <a:endParaRPr lang="ca-ES"/>
          </a:p>
        </c:txPr>
        <c:crossAx val="4329292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Temporalitat!$B$59</c:f>
              <c:strCache>
                <c:ptCount val="1"/>
                <c:pt idx="0">
                  <c:v>Catalunya</c:v>
                </c:pt>
              </c:strCache>
            </c:strRef>
          </c:tx>
          <c:dLbls>
            <c:dLbl>
              <c:idx val="2"/>
              <c:layout>
                <c:manualLayout>
                  <c:x val="2.8551034975017845E-3"/>
                  <c:y val="1.8518518518518583E-2"/>
                </c:manualLayout>
              </c:layout>
              <c:dLblPos val="t"/>
              <c:showLegendKey val="0"/>
              <c:showVal val="1"/>
              <c:showCatName val="0"/>
              <c:showSerName val="0"/>
              <c:showPercent val="0"/>
              <c:showBubbleSize val="0"/>
            </c:dLbl>
            <c:dLbl>
              <c:idx val="3"/>
              <c:layout>
                <c:manualLayout>
                  <c:x val="0"/>
                  <c:y val="1.3888888888889176E-2"/>
                </c:manualLayout>
              </c:layout>
              <c:dLblPos val="t"/>
              <c:showLegendKey val="0"/>
              <c:showVal val="1"/>
              <c:showCatName val="0"/>
              <c:showSerName val="0"/>
              <c:showPercent val="0"/>
              <c:showBubbleSize val="0"/>
            </c:dLbl>
            <c:dLbl>
              <c:idx val="4"/>
              <c:layout>
                <c:manualLayout>
                  <c:x val="0"/>
                  <c:y val="1.3888888888889176E-2"/>
                </c:manualLayout>
              </c:layout>
              <c:dLblPos val="t"/>
              <c:showLegendKey val="0"/>
              <c:showVal val="1"/>
              <c:showCatName val="0"/>
              <c:showSerName val="0"/>
              <c:showPercent val="0"/>
              <c:showBubbleSize val="0"/>
            </c:dLbl>
            <c:dLbl>
              <c:idx val="5"/>
              <c:layout>
                <c:manualLayout>
                  <c:x val="0"/>
                  <c:y val="1.3888888888889176E-2"/>
                </c:manualLayout>
              </c:layout>
              <c:dLblPos val="t"/>
              <c:showLegendKey val="0"/>
              <c:showVal val="1"/>
              <c:showCatName val="0"/>
              <c:showSerName val="0"/>
              <c:showPercent val="0"/>
              <c:showBubbleSize val="0"/>
            </c:dLbl>
            <c:dLbl>
              <c:idx val="6"/>
              <c:layout>
                <c:manualLayout>
                  <c:x val="-2.2481129901589623E-7"/>
                  <c:y val="1.3888888888889176E-2"/>
                </c:manualLayout>
              </c:layout>
              <c:dLblPos val="t"/>
              <c:showLegendKey val="0"/>
              <c:showVal val="1"/>
              <c:showCatName val="0"/>
              <c:showSerName val="0"/>
              <c:showPercent val="0"/>
              <c:showBubbleSize val="0"/>
            </c:dLbl>
            <c:dLbl>
              <c:idx val="7"/>
              <c:layout>
                <c:manualLayout>
                  <c:x val="-1.0468591890107191E-16"/>
                  <c:y val="1.3888888888889176E-2"/>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Temporalitat!$A$60:$A$67</c:f>
              <c:strCache>
                <c:ptCount val="8"/>
                <c:pt idx="0">
                  <c:v>2007</c:v>
                </c:pt>
                <c:pt idx="1">
                  <c:v>2008</c:v>
                </c:pt>
                <c:pt idx="2">
                  <c:v>2009</c:v>
                </c:pt>
                <c:pt idx="3">
                  <c:v>2010</c:v>
                </c:pt>
                <c:pt idx="4">
                  <c:v>2011</c:v>
                </c:pt>
                <c:pt idx="5">
                  <c:v>2012</c:v>
                </c:pt>
                <c:pt idx="6">
                  <c:v>2013</c:v>
                </c:pt>
                <c:pt idx="7">
                  <c:v>2014</c:v>
                </c:pt>
              </c:strCache>
            </c:strRef>
          </c:cat>
          <c:val>
            <c:numRef>
              <c:f>Temporalitat!$B$60:$B$67</c:f>
              <c:numCache>
                <c:formatCode>#,##0.0</c:formatCode>
                <c:ptCount val="8"/>
                <c:pt idx="0">
                  <c:v>23.7</c:v>
                </c:pt>
                <c:pt idx="1">
                  <c:v>21.3</c:v>
                </c:pt>
                <c:pt idx="2">
                  <c:v>18.2</c:v>
                </c:pt>
                <c:pt idx="3">
                  <c:v>18.2</c:v>
                </c:pt>
                <c:pt idx="4">
                  <c:v>20.2</c:v>
                </c:pt>
                <c:pt idx="5">
                  <c:v>18.399999999999999</c:v>
                </c:pt>
                <c:pt idx="6">
                  <c:v>18.600000000000001</c:v>
                </c:pt>
                <c:pt idx="7">
                  <c:v>18.3</c:v>
                </c:pt>
              </c:numCache>
            </c:numRef>
          </c:val>
          <c:smooth val="0"/>
        </c:ser>
        <c:ser>
          <c:idx val="1"/>
          <c:order val="1"/>
          <c:tx>
            <c:strRef>
              <c:f>Temporalitat!$C$59</c:f>
              <c:strCache>
                <c:ptCount val="1"/>
                <c:pt idx="0">
                  <c:v>Espanya</c:v>
                </c:pt>
              </c:strCache>
            </c:strRef>
          </c:tx>
          <c:dLbls>
            <c:dLblPos val="t"/>
            <c:showLegendKey val="0"/>
            <c:showVal val="1"/>
            <c:showCatName val="0"/>
            <c:showSerName val="0"/>
            <c:showPercent val="0"/>
            <c:showBubbleSize val="0"/>
            <c:showLeaderLines val="0"/>
          </c:dLbls>
          <c:cat>
            <c:strRef>
              <c:f>Temporalitat!$A$60:$A$67</c:f>
              <c:strCache>
                <c:ptCount val="8"/>
                <c:pt idx="0">
                  <c:v>2007</c:v>
                </c:pt>
                <c:pt idx="1">
                  <c:v>2008</c:v>
                </c:pt>
                <c:pt idx="2">
                  <c:v>2009</c:v>
                </c:pt>
                <c:pt idx="3">
                  <c:v>2010</c:v>
                </c:pt>
                <c:pt idx="4">
                  <c:v>2011</c:v>
                </c:pt>
                <c:pt idx="5">
                  <c:v>2012</c:v>
                </c:pt>
                <c:pt idx="6">
                  <c:v>2013</c:v>
                </c:pt>
                <c:pt idx="7">
                  <c:v>2014</c:v>
                </c:pt>
              </c:strCache>
            </c:strRef>
          </c:cat>
          <c:val>
            <c:numRef>
              <c:f>Temporalitat!$C$60:$C$67</c:f>
              <c:numCache>
                <c:formatCode>#,##0.0</c:formatCode>
                <c:ptCount val="8"/>
                <c:pt idx="0">
                  <c:v>31.6</c:v>
                </c:pt>
                <c:pt idx="1">
                  <c:v>29.1</c:v>
                </c:pt>
                <c:pt idx="2">
                  <c:v>25.2</c:v>
                </c:pt>
                <c:pt idx="3">
                  <c:v>24.7</c:v>
                </c:pt>
                <c:pt idx="4">
                  <c:v>25.1</c:v>
                </c:pt>
                <c:pt idx="5">
                  <c:v>23.4</c:v>
                </c:pt>
                <c:pt idx="6">
                  <c:v>23.1</c:v>
                </c:pt>
                <c:pt idx="7">
                  <c:v>24</c:v>
                </c:pt>
              </c:numCache>
            </c:numRef>
          </c:val>
          <c:smooth val="0"/>
        </c:ser>
        <c:ser>
          <c:idx val="2"/>
          <c:order val="2"/>
          <c:tx>
            <c:strRef>
              <c:f>Temporalitat!$D$59</c:f>
              <c:strCache>
                <c:ptCount val="1"/>
                <c:pt idx="0">
                  <c:v>UE-27</c:v>
                </c:pt>
              </c:strCache>
            </c:strRef>
          </c:tx>
          <c:dLbls>
            <c:dLblPos val="b"/>
            <c:showLegendKey val="0"/>
            <c:showVal val="1"/>
            <c:showCatName val="0"/>
            <c:showSerName val="0"/>
            <c:showPercent val="0"/>
            <c:showBubbleSize val="0"/>
            <c:showLeaderLines val="0"/>
          </c:dLbls>
          <c:cat>
            <c:strRef>
              <c:f>Temporalitat!$A$60:$A$67</c:f>
              <c:strCache>
                <c:ptCount val="8"/>
                <c:pt idx="0">
                  <c:v>2007</c:v>
                </c:pt>
                <c:pt idx="1">
                  <c:v>2008</c:v>
                </c:pt>
                <c:pt idx="2">
                  <c:v>2009</c:v>
                </c:pt>
                <c:pt idx="3">
                  <c:v>2010</c:v>
                </c:pt>
                <c:pt idx="4">
                  <c:v>2011</c:v>
                </c:pt>
                <c:pt idx="5">
                  <c:v>2012</c:v>
                </c:pt>
                <c:pt idx="6">
                  <c:v>2013</c:v>
                </c:pt>
                <c:pt idx="7">
                  <c:v>2014</c:v>
                </c:pt>
              </c:strCache>
            </c:strRef>
          </c:cat>
          <c:val>
            <c:numRef>
              <c:f>Temporalitat!$D$60:$D$67</c:f>
              <c:numCache>
                <c:formatCode>0.0</c:formatCode>
                <c:ptCount val="8"/>
                <c:pt idx="0">
                  <c:v>14.6</c:v>
                </c:pt>
                <c:pt idx="1">
                  <c:v>14.1</c:v>
                </c:pt>
                <c:pt idx="2">
                  <c:v>13.6</c:v>
                </c:pt>
                <c:pt idx="3">
                  <c:v>14</c:v>
                </c:pt>
                <c:pt idx="4">
                  <c:v>14</c:v>
                </c:pt>
                <c:pt idx="5">
                  <c:v>13.7</c:v>
                </c:pt>
                <c:pt idx="6">
                  <c:v>13.7</c:v>
                </c:pt>
                <c:pt idx="7">
                  <c:v>14</c:v>
                </c:pt>
              </c:numCache>
            </c:numRef>
          </c:val>
          <c:smooth val="0"/>
        </c:ser>
        <c:dLbls>
          <c:showLegendKey val="0"/>
          <c:showVal val="1"/>
          <c:showCatName val="0"/>
          <c:showSerName val="0"/>
          <c:showPercent val="0"/>
          <c:showBubbleSize val="0"/>
        </c:dLbls>
        <c:marker val="1"/>
        <c:smooth val="0"/>
        <c:axId val="45967616"/>
        <c:axId val="45985792"/>
      </c:lineChart>
      <c:catAx>
        <c:axId val="45967616"/>
        <c:scaling>
          <c:orientation val="minMax"/>
        </c:scaling>
        <c:delete val="0"/>
        <c:axPos val="b"/>
        <c:majorTickMark val="none"/>
        <c:minorTickMark val="none"/>
        <c:tickLblPos val="nextTo"/>
        <c:crossAx val="45985792"/>
        <c:crosses val="autoZero"/>
        <c:auto val="1"/>
        <c:lblAlgn val="ctr"/>
        <c:lblOffset val="100"/>
        <c:noMultiLvlLbl val="0"/>
      </c:catAx>
      <c:valAx>
        <c:axId val="45985792"/>
        <c:scaling>
          <c:orientation val="minMax"/>
        </c:scaling>
        <c:delete val="0"/>
        <c:axPos val="l"/>
        <c:numFmt formatCode="#,##0.0" sourceLinked="1"/>
        <c:majorTickMark val="none"/>
        <c:minorTickMark val="none"/>
        <c:tickLblPos val="nextTo"/>
        <c:crossAx val="45967616"/>
        <c:crosses val="autoZero"/>
        <c:crossBetween val="between"/>
      </c:val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Temporalitat!$H$4</c:f>
              <c:strCache>
                <c:ptCount val="1"/>
                <c:pt idx="0">
                  <c:v>Homes </c:v>
                </c:pt>
              </c:strCache>
            </c:strRef>
          </c:tx>
          <c:dLbls>
            <c:dLbl>
              <c:idx val="6"/>
              <c:layout>
                <c:manualLayout>
                  <c:x val="0"/>
                  <c:y val="-0.1111111111111111"/>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Temporalitat!$F$7:$F$14</c:f>
              <c:strCache>
                <c:ptCount val="8"/>
                <c:pt idx="0">
                  <c:v>2007</c:v>
                </c:pt>
                <c:pt idx="1">
                  <c:v>2008</c:v>
                </c:pt>
                <c:pt idx="2">
                  <c:v>2009</c:v>
                </c:pt>
                <c:pt idx="3">
                  <c:v>2010</c:v>
                </c:pt>
                <c:pt idx="4">
                  <c:v>2011</c:v>
                </c:pt>
                <c:pt idx="5">
                  <c:v>2012</c:v>
                </c:pt>
                <c:pt idx="6">
                  <c:v>2013</c:v>
                </c:pt>
                <c:pt idx="7">
                  <c:v>2014</c:v>
                </c:pt>
              </c:strCache>
            </c:strRef>
          </c:cat>
          <c:val>
            <c:numRef>
              <c:f>Temporalitat!$H$7:$H$14</c:f>
              <c:numCache>
                <c:formatCode>#,##0.0</c:formatCode>
                <c:ptCount val="8"/>
                <c:pt idx="0">
                  <c:v>23.1</c:v>
                </c:pt>
                <c:pt idx="1">
                  <c:v>20.100000000000001</c:v>
                </c:pt>
                <c:pt idx="2">
                  <c:v>17.399999999999999</c:v>
                </c:pt>
                <c:pt idx="3">
                  <c:v>16.600000000000001</c:v>
                </c:pt>
                <c:pt idx="4">
                  <c:v>18.5</c:v>
                </c:pt>
                <c:pt idx="5">
                  <c:v>17.399999999999999</c:v>
                </c:pt>
                <c:pt idx="6">
                  <c:v>18.7</c:v>
                </c:pt>
                <c:pt idx="7">
                  <c:v>17.7</c:v>
                </c:pt>
              </c:numCache>
            </c:numRef>
          </c:val>
          <c:smooth val="0"/>
        </c:ser>
        <c:ser>
          <c:idx val="1"/>
          <c:order val="1"/>
          <c:tx>
            <c:strRef>
              <c:f>Temporalitat!$I$4</c:f>
              <c:strCache>
                <c:ptCount val="1"/>
                <c:pt idx="0">
                  <c:v>Dones</c:v>
                </c:pt>
              </c:strCache>
            </c:strRef>
          </c:tx>
          <c:dLbls>
            <c:dLbl>
              <c:idx val="6"/>
              <c:layout>
                <c:manualLayout>
                  <c:x val="5.0793650793650924E-3"/>
                  <c:y val="0.12962962962962649"/>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Temporalitat!$F$7:$F$14</c:f>
              <c:strCache>
                <c:ptCount val="8"/>
                <c:pt idx="0">
                  <c:v>2007</c:v>
                </c:pt>
                <c:pt idx="1">
                  <c:v>2008</c:v>
                </c:pt>
                <c:pt idx="2">
                  <c:v>2009</c:v>
                </c:pt>
                <c:pt idx="3">
                  <c:v>2010</c:v>
                </c:pt>
                <c:pt idx="4">
                  <c:v>2011</c:v>
                </c:pt>
                <c:pt idx="5">
                  <c:v>2012</c:v>
                </c:pt>
                <c:pt idx="6">
                  <c:v>2013</c:v>
                </c:pt>
                <c:pt idx="7">
                  <c:v>2014</c:v>
                </c:pt>
              </c:strCache>
            </c:strRef>
          </c:cat>
          <c:val>
            <c:numRef>
              <c:f>Temporalitat!$I$7:$I$14</c:f>
              <c:numCache>
                <c:formatCode>#,##0.0</c:formatCode>
                <c:ptCount val="8"/>
                <c:pt idx="0">
                  <c:v>24.5</c:v>
                </c:pt>
                <c:pt idx="1">
                  <c:v>22.8</c:v>
                </c:pt>
                <c:pt idx="2">
                  <c:v>19.100000000000001</c:v>
                </c:pt>
                <c:pt idx="3">
                  <c:v>19.899999999999999</c:v>
                </c:pt>
                <c:pt idx="4">
                  <c:v>21.9</c:v>
                </c:pt>
                <c:pt idx="5">
                  <c:v>19.5</c:v>
                </c:pt>
                <c:pt idx="6">
                  <c:v>18.600000000000001</c:v>
                </c:pt>
                <c:pt idx="7">
                  <c:v>18.899999999999999</c:v>
                </c:pt>
              </c:numCache>
            </c:numRef>
          </c:val>
          <c:smooth val="0"/>
        </c:ser>
        <c:dLbls>
          <c:showLegendKey val="0"/>
          <c:showVal val="0"/>
          <c:showCatName val="0"/>
          <c:showSerName val="0"/>
          <c:showPercent val="0"/>
          <c:showBubbleSize val="0"/>
        </c:dLbls>
        <c:marker val="1"/>
        <c:smooth val="0"/>
        <c:axId val="46019328"/>
        <c:axId val="46020864"/>
      </c:lineChart>
      <c:catAx>
        <c:axId val="46019328"/>
        <c:scaling>
          <c:orientation val="minMax"/>
        </c:scaling>
        <c:delete val="0"/>
        <c:axPos val="b"/>
        <c:majorTickMark val="none"/>
        <c:minorTickMark val="none"/>
        <c:tickLblPos val="nextTo"/>
        <c:crossAx val="46020864"/>
        <c:crosses val="autoZero"/>
        <c:auto val="1"/>
        <c:lblAlgn val="ctr"/>
        <c:lblOffset val="100"/>
        <c:noMultiLvlLbl val="0"/>
      </c:catAx>
      <c:valAx>
        <c:axId val="46020864"/>
        <c:scaling>
          <c:orientation val="minMax"/>
        </c:scaling>
        <c:delete val="0"/>
        <c:axPos val="l"/>
        <c:numFmt formatCode="#,##0.0" sourceLinked="1"/>
        <c:majorTickMark val="none"/>
        <c:minorTickMark val="none"/>
        <c:tickLblPos val="nextTo"/>
        <c:crossAx val="4601932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0"/>
                  <c:y val="2.3557126030624265E-2"/>
                </c:manualLayout>
              </c:layout>
              <c:showLegendKey val="0"/>
              <c:showVal val="1"/>
              <c:showCatName val="0"/>
              <c:showSerName val="0"/>
              <c:showPercent val="0"/>
              <c:showBubbleSize val="0"/>
            </c:dLbl>
            <c:dLbl>
              <c:idx val="2"/>
              <c:layout>
                <c:manualLayout>
                  <c:x val="0"/>
                  <c:y val="2.8268551236749019E-2"/>
                </c:manualLayout>
              </c:layout>
              <c:showLegendKey val="0"/>
              <c:showVal val="1"/>
              <c:showCatName val="0"/>
              <c:showSerName val="0"/>
              <c:showPercent val="0"/>
              <c:showBubbleSize val="0"/>
            </c:dLbl>
            <c:dLbl>
              <c:idx val="3"/>
              <c:layout>
                <c:manualLayout>
                  <c:x val="0"/>
                  <c:y val="2.355712603062426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Prestacions!$A$169:$D$169</c:f>
              <c:strCache>
                <c:ptCount val="4"/>
                <c:pt idx="0">
                  <c:v>jubilació</c:v>
                </c:pt>
                <c:pt idx="1">
                  <c:v>Invalidesa</c:v>
                </c:pt>
                <c:pt idx="2">
                  <c:v>Jubilació derivada d'Invalidesa</c:v>
                </c:pt>
                <c:pt idx="3">
                  <c:v>Total</c:v>
                </c:pt>
              </c:strCache>
            </c:strRef>
          </c:cat>
          <c:val>
            <c:numRef>
              <c:f>Prestacions!$A$170:$D$170</c:f>
              <c:numCache>
                <c:formatCode>0.00%</c:formatCode>
                <c:ptCount val="4"/>
                <c:pt idx="0">
                  <c:v>0.76049999999999995</c:v>
                </c:pt>
                <c:pt idx="1">
                  <c:v>0.51890000000000003</c:v>
                </c:pt>
                <c:pt idx="2">
                  <c:v>0.73890000000000722</c:v>
                </c:pt>
                <c:pt idx="3">
                  <c:v>0.64910000000000789</c:v>
                </c:pt>
              </c:numCache>
            </c:numRef>
          </c:val>
        </c:ser>
        <c:dLbls>
          <c:showLegendKey val="0"/>
          <c:showVal val="1"/>
          <c:showCatName val="0"/>
          <c:showSerName val="0"/>
          <c:showPercent val="0"/>
          <c:showBubbleSize val="0"/>
        </c:dLbls>
        <c:gapWidth val="150"/>
        <c:axId val="36759040"/>
        <c:axId val="36760576"/>
      </c:barChart>
      <c:catAx>
        <c:axId val="36759040"/>
        <c:scaling>
          <c:orientation val="minMax"/>
        </c:scaling>
        <c:delete val="0"/>
        <c:axPos val="b"/>
        <c:majorTickMark val="out"/>
        <c:minorTickMark val="none"/>
        <c:tickLblPos val="nextTo"/>
        <c:txPr>
          <a:bodyPr/>
          <a:lstStyle/>
          <a:p>
            <a:pPr>
              <a:defRPr lang="ca-ES"/>
            </a:pPr>
            <a:endParaRPr lang="ca-ES"/>
          </a:p>
        </c:txPr>
        <c:crossAx val="36760576"/>
        <c:crosses val="autoZero"/>
        <c:auto val="1"/>
        <c:lblAlgn val="ctr"/>
        <c:lblOffset val="100"/>
        <c:noMultiLvlLbl val="0"/>
      </c:catAx>
      <c:valAx>
        <c:axId val="36760576"/>
        <c:scaling>
          <c:orientation val="minMax"/>
        </c:scaling>
        <c:delete val="0"/>
        <c:axPos val="l"/>
        <c:majorGridlines/>
        <c:numFmt formatCode="0.00%" sourceLinked="1"/>
        <c:majorTickMark val="out"/>
        <c:minorTickMark val="none"/>
        <c:tickLblPos val="nextTo"/>
        <c:txPr>
          <a:bodyPr/>
          <a:lstStyle/>
          <a:p>
            <a:pPr>
              <a:defRPr lang="ca-ES"/>
            </a:pPr>
            <a:endParaRPr lang="ca-ES"/>
          </a:p>
        </c:txPr>
        <c:crossAx val="36759040"/>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Temporalitat!$M$59</c:f>
              <c:strCache>
                <c:ptCount val="1"/>
                <c:pt idx="0">
                  <c:v>De 16 a 24 anys</c:v>
                </c:pt>
              </c:strCache>
            </c:strRef>
          </c:tx>
          <c:dLbls>
            <c:dLblPos val="t"/>
            <c:showLegendKey val="0"/>
            <c:showVal val="1"/>
            <c:showCatName val="0"/>
            <c:showSerName val="0"/>
            <c:showPercent val="0"/>
            <c:showBubbleSize val="0"/>
            <c:showLeaderLines val="0"/>
          </c:dLbls>
          <c:cat>
            <c:strRef>
              <c:f>Temporalitat!$N$58:$U$58</c:f>
              <c:strCache>
                <c:ptCount val="8"/>
                <c:pt idx="0">
                  <c:v>2007</c:v>
                </c:pt>
                <c:pt idx="1">
                  <c:v>2008</c:v>
                </c:pt>
                <c:pt idx="2">
                  <c:v>2009</c:v>
                </c:pt>
                <c:pt idx="3">
                  <c:v>2010</c:v>
                </c:pt>
                <c:pt idx="4">
                  <c:v>2011</c:v>
                </c:pt>
                <c:pt idx="5">
                  <c:v>2012</c:v>
                </c:pt>
                <c:pt idx="6">
                  <c:v>2013</c:v>
                </c:pt>
                <c:pt idx="7">
                  <c:v>2014</c:v>
                </c:pt>
              </c:strCache>
            </c:strRef>
          </c:cat>
          <c:val>
            <c:numRef>
              <c:f>Temporalitat!$N$59:$U$59</c:f>
              <c:numCache>
                <c:formatCode>0.0</c:formatCode>
                <c:ptCount val="8"/>
                <c:pt idx="0">
                  <c:v>55.507692307691997</c:v>
                </c:pt>
                <c:pt idx="1">
                  <c:v>52.701801200800524</c:v>
                </c:pt>
                <c:pt idx="2">
                  <c:v>45.765765765765813</c:v>
                </c:pt>
                <c:pt idx="3">
                  <c:v>48.704156479216813</c:v>
                </c:pt>
                <c:pt idx="4">
                  <c:v>56.194196428572013</c:v>
                </c:pt>
                <c:pt idx="5">
                  <c:v>57.418909592822594</c:v>
                </c:pt>
                <c:pt idx="6">
                  <c:v>60.328806290207297</c:v>
                </c:pt>
                <c:pt idx="7">
                  <c:v>59.528907922912211</c:v>
                </c:pt>
              </c:numCache>
            </c:numRef>
          </c:val>
          <c:smooth val="0"/>
        </c:ser>
        <c:ser>
          <c:idx val="1"/>
          <c:order val="1"/>
          <c:tx>
            <c:strRef>
              <c:f>Temporalitat!$M$60</c:f>
              <c:strCache>
                <c:ptCount val="1"/>
                <c:pt idx="0">
                  <c:v>De 25 a 54 anys</c:v>
                </c:pt>
              </c:strCache>
            </c:strRef>
          </c:tx>
          <c:dLbls>
            <c:dLblPos val="t"/>
            <c:showLegendKey val="0"/>
            <c:showVal val="1"/>
            <c:showCatName val="0"/>
            <c:showSerName val="0"/>
            <c:showPercent val="0"/>
            <c:showBubbleSize val="0"/>
            <c:showLeaderLines val="0"/>
          </c:dLbls>
          <c:cat>
            <c:strRef>
              <c:f>Temporalitat!$N$58:$U$58</c:f>
              <c:strCache>
                <c:ptCount val="8"/>
                <c:pt idx="0">
                  <c:v>2007</c:v>
                </c:pt>
                <c:pt idx="1">
                  <c:v>2008</c:v>
                </c:pt>
                <c:pt idx="2">
                  <c:v>2009</c:v>
                </c:pt>
                <c:pt idx="3">
                  <c:v>2010</c:v>
                </c:pt>
                <c:pt idx="4">
                  <c:v>2011</c:v>
                </c:pt>
                <c:pt idx="5">
                  <c:v>2012</c:v>
                </c:pt>
                <c:pt idx="6">
                  <c:v>2013</c:v>
                </c:pt>
                <c:pt idx="7">
                  <c:v>2014</c:v>
                </c:pt>
              </c:strCache>
            </c:strRef>
          </c:cat>
          <c:val>
            <c:numRef>
              <c:f>Temporalitat!$N$60:$U$60</c:f>
              <c:numCache>
                <c:formatCode>0.0</c:formatCode>
                <c:ptCount val="8"/>
                <c:pt idx="0">
                  <c:v>21.297892921731084</c:v>
                </c:pt>
                <c:pt idx="1">
                  <c:v>19.386895738588535</c:v>
                </c:pt>
                <c:pt idx="2">
                  <c:v>17.027766563495266</c:v>
                </c:pt>
                <c:pt idx="3">
                  <c:v>16.797558677018355</c:v>
                </c:pt>
                <c:pt idx="4">
                  <c:v>18.864353312302839</c:v>
                </c:pt>
                <c:pt idx="5">
                  <c:v>17.075973000143616</c:v>
                </c:pt>
                <c:pt idx="6">
                  <c:v>17.41016414452605</c:v>
                </c:pt>
                <c:pt idx="7">
                  <c:v>17.396593673965469</c:v>
                </c:pt>
              </c:numCache>
            </c:numRef>
          </c:val>
          <c:smooth val="0"/>
        </c:ser>
        <c:ser>
          <c:idx val="2"/>
          <c:order val="2"/>
          <c:tx>
            <c:strRef>
              <c:f>Temporalitat!$M$61</c:f>
              <c:strCache>
                <c:ptCount val="1"/>
                <c:pt idx="0">
                  <c:v>De 55 anys i més</c:v>
                </c:pt>
              </c:strCache>
            </c:strRef>
          </c:tx>
          <c:dLbls>
            <c:dLbl>
              <c:idx val="0"/>
              <c:layout>
                <c:manualLayout>
                  <c:x val="0"/>
                  <c:y val="1.3888888888889176E-2"/>
                </c:manualLayout>
              </c:layout>
              <c:dLblPos val="t"/>
              <c:showLegendKey val="0"/>
              <c:showVal val="1"/>
              <c:showCatName val="0"/>
              <c:showSerName val="0"/>
              <c:showPercent val="0"/>
              <c:showBubbleSize val="0"/>
            </c:dLbl>
            <c:dLbl>
              <c:idx val="1"/>
              <c:layout>
                <c:manualLayout>
                  <c:x val="0"/>
                  <c:y val="2.777777777777872E-2"/>
                </c:manualLayout>
              </c:layout>
              <c:dLblPos val="t"/>
              <c:showLegendKey val="0"/>
              <c:showVal val="1"/>
              <c:showCatName val="0"/>
              <c:showSerName val="0"/>
              <c:showPercent val="0"/>
              <c:showBubbleSize val="0"/>
            </c:dLbl>
            <c:dLbl>
              <c:idx val="2"/>
              <c:layout>
                <c:manualLayout>
                  <c:x val="0"/>
                  <c:y val="2.3148148148148147E-2"/>
                </c:manualLayout>
              </c:layout>
              <c:dLblPos val="t"/>
              <c:showLegendKey val="0"/>
              <c:showVal val="1"/>
              <c:showCatName val="0"/>
              <c:showSerName val="0"/>
              <c:showPercent val="0"/>
              <c:showBubbleSize val="0"/>
            </c:dLbl>
            <c:dLbl>
              <c:idx val="3"/>
              <c:layout>
                <c:manualLayout>
                  <c:x val="0"/>
                  <c:y val="2.3148148148148147E-2"/>
                </c:manualLayout>
              </c:layout>
              <c:dLblPos val="t"/>
              <c:showLegendKey val="0"/>
              <c:showVal val="1"/>
              <c:showCatName val="0"/>
              <c:showSerName val="0"/>
              <c:showPercent val="0"/>
              <c:showBubbleSize val="0"/>
            </c:dLbl>
            <c:dLbl>
              <c:idx val="4"/>
              <c:layout>
                <c:manualLayout>
                  <c:x val="0"/>
                  <c:y val="2.3148148148148147E-2"/>
                </c:manualLayout>
              </c:layout>
              <c:dLblPos val="t"/>
              <c:showLegendKey val="0"/>
              <c:showVal val="1"/>
              <c:showCatName val="0"/>
              <c:showSerName val="0"/>
              <c:showPercent val="0"/>
              <c:showBubbleSize val="0"/>
            </c:dLbl>
            <c:dLbl>
              <c:idx val="5"/>
              <c:layout>
                <c:manualLayout>
                  <c:x val="0"/>
                  <c:y val="2.3148148148148147E-2"/>
                </c:manualLayout>
              </c:layout>
              <c:dLblPos val="t"/>
              <c:showLegendKey val="0"/>
              <c:showVal val="1"/>
              <c:showCatName val="0"/>
              <c:showSerName val="0"/>
              <c:showPercent val="0"/>
              <c:showBubbleSize val="0"/>
            </c:dLbl>
            <c:dLbl>
              <c:idx val="6"/>
              <c:layout>
                <c:manualLayout>
                  <c:x val="0"/>
                  <c:y val="2.3148148148148147E-2"/>
                </c:manualLayout>
              </c:layout>
              <c:dLblPos val="t"/>
              <c:showLegendKey val="0"/>
              <c:showVal val="1"/>
              <c:showCatName val="0"/>
              <c:showSerName val="0"/>
              <c:showPercent val="0"/>
              <c:showBubbleSize val="0"/>
            </c:dLbl>
            <c:dLbl>
              <c:idx val="7"/>
              <c:layout>
                <c:manualLayout>
                  <c:x val="1.0185067526416593E-16"/>
                  <c:y val="1.8518518518518583E-2"/>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Temporalitat!$N$58:$U$58</c:f>
              <c:strCache>
                <c:ptCount val="8"/>
                <c:pt idx="0">
                  <c:v>2007</c:v>
                </c:pt>
                <c:pt idx="1">
                  <c:v>2008</c:v>
                </c:pt>
                <c:pt idx="2">
                  <c:v>2009</c:v>
                </c:pt>
                <c:pt idx="3">
                  <c:v>2010</c:v>
                </c:pt>
                <c:pt idx="4">
                  <c:v>2011</c:v>
                </c:pt>
                <c:pt idx="5">
                  <c:v>2012</c:v>
                </c:pt>
                <c:pt idx="6">
                  <c:v>2013</c:v>
                </c:pt>
                <c:pt idx="7">
                  <c:v>2014</c:v>
                </c:pt>
              </c:strCache>
            </c:strRef>
          </c:cat>
          <c:val>
            <c:numRef>
              <c:f>Temporalitat!$N$61:$U$61</c:f>
              <c:numCache>
                <c:formatCode>0.0</c:formatCode>
                <c:ptCount val="8"/>
                <c:pt idx="0">
                  <c:v>8.3076923076923208</c:v>
                </c:pt>
                <c:pt idx="1">
                  <c:v>6.1185468451242775</c:v>
                </c:pt>
                <c:pt idx="2">
                  <c:v>6.7279291106005905</c:v>
                </c:pt>
                <c:pt idx="3">
                  <c:v>7.7359119706568755</c:v>
                </c:pt>
                <c:pt idx="4">
                  <c:v>8.6914062500000266</c:v>
                </c:pt>
                <c:pt idx="5">
                  <c:v>9.0909090909091006</c:v>
                </c:pt>
                <c:pt idx="6">
                  <c:v>7.4049586776858645</c:v>
                </c:pt>
                <c:pt idx="7">
                  <c:v>6.0423916482125906</c:v>
                </c:pt>
              </c:numCache>
            </c:numRef>
          </c:val>
          <c:smooth val="0"/>
        </c:ser>
        <c:dLbls>
          <c:showLegendKey val="0"/>
          <c:showVal val="0"/>
          <c:showCatName val="0"/>
          <c:showSerName val="0"/>
          <c:showPercent val="0"/>
          <c:showBubbleSize val="0"/>
        </c:dLbls>
        <c:marker val="1"/>
        <c:smooth val="0"/>
        <c:axId val="46056192"/>
        <c:axId val="46057728"/>
      </c:lineChart>
      <c:catAx>
        <c:axId val="46056192"/>
        <c:scaling>
          <c:orientation val="minMax"/>
        </c:scaling>
        <c:delete val="0"/>
        <c:axPos val="b"/>
        <c:majorTickMark val="none"/>
        <c:minorTickMark val="none"/>
        <c:tickLblPos val="nextTo"/>
        <c:crossAx val="46057728"/>
        <c:crosses val="autoZero"/>
        <c:auto val="1"/>
        <c:lblAlgn val="ctr"/>
        <c:lblOffset val="100"/>
        <c:noMultiLvlLbl val="0"/>
      </c:catAx>
      <c:valAx>
        <c:axId val="46057728"/>
        <c:scaling>
          <c:orientation val="minMax"/>
        </c:scaling>
        <c:delete val="0"/>
        <c:axPos val="l"/>
        <c:numFmt formatCode="0.0" sourceLinked="1"/>
        <c:majorTickMark val="none"/>
        <c:minorTickMark val="none"/>
        <c:tickLblPos val="nextTo"/>
        <c:crossAx val="46056192"/>
        <c:crosses val="autoZero"/>
        <c:crossBetween val="between"/>
      </c:valAx>
    </c:plotArea>
    <c:legend>
      <c:legendPos val="b"/>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Temporalitat!$H$17</c:f>
              <c:strCache>
                <c:ptCount val="1"/>
                <c:pt idx="0">
                  <c:v>Nacionalitat Estrangera</c:v>
                </c:pt>
              </c:strCache>
            </c:strRef>
          </c:tx>
          <c:dLbls>
            <c:dLblPos val="t"/>
            <c:showLegendKey val="0"/>
            <c:showVal val="1"/>
            <c:showCatName val="0"/>
            <c:showSerName val="0"/>
            <c:showPercent val="0"/>
            <c:showBubbleSize val="0"/>
            <c:showLeaderLines val="0"/>
          </c:dLbls>
          <c:cat>
            <c:strRef>
              <c:f>Temporalitat!$G$18:$G$25</c:f>
              <c:strCache>
                <c:ptCount val="8"/>
                <c:pt idx="0">
                  <c:v>2007</c:v>
                </c:pt>
                <c:pt idx="1">
                  <c:v>2008</c:v>
                </c:pt>
                <c:pt idx="2">
                  <c:v>2009</c:v>
                </c:pt>
                <c:pt idx="3">
                  <c:v>2010</c:v>
                </c:pt>
                <c:pt idx="4">
                  <c:v>2011</c:v>
                </c:pt>
                <c:pt idx="5">
                  <c:v>2012</c:v>
                </c:pt>
                <c:pt idx="6">
                  <c:v>2013</c:v>
                </c:pt>
                <c:pt idx="7">
                  <c:v>2014</c:v>
                </c:pt>
              </c:strCache>
            </c:strRef>
          </c:cat>
          <c:val>
            <c:numRef>
              <c:f>Temporalitat!$H$18:$H$25</c:f>
              <c:numCache>
                <c:formatCode>0.0</c:formatCode>
                <c:ptCount val="8"/>
                <c:pt idx="0">
                  <c:v>43</c:v>
                </c:pt>
                <c:pt idx="1">
                  <c:v>37.800000000000004</c:v>
                </c:pt>
                <c:pt idx="2">
                  <c:v>31.1</c:v>
                </c:pt>
                <c:pt idx="3">
                  <c:v>29.3</c:v>
                </c:pt>
                <c:pt idx="4">
                  <c:v>35.700000000000003</c:v>
                </c:pt>
                <c:pt idx="5">
                  <c:v>26</c:v>
                </c:pt>
                <c:pt idx="6">
                  <c:v>31.7</c:v>
                </c:pt>
                <c:pt idx="7">
                  <c:v>26.6</c:v>
                </c:pt>
              </c:numCache>
            </c:numRef>
          </c:val>
          <c:smooth val="0"/>
        </c:ser>
        <c:ser>
          <c:idx val="1"/>
          <c:order val="1"/>
          <c:tx>
            <c:strRef>
              <c:f>Temporalitat!$I$17</c:f>
              <c:strCache>
                <c:ptCount val="1"/>
                <c:pt idx="0">
                  <c:v>Nacionalitat Espanyola</c:v>
                </c:pt>
              </c:strCache>
            </c:strRef>
          </c:tx>
          <c:dLbls>
            <c:dLblPos val="b"/>
            <c:showLegendKey val="0"/>
            <c:showVal val="1"/>
            <c:showCatName val="0"/>
            <c:showSerName val="0"/>
            <c:showPercent val="0"/>
            <c:showBubbleSize val="0"/>
            <c:showLeaderLines val="0"/>
          </c:dLbls>
          <c:cat>
            <c:strRef>
              <c:f>Temporalitat!$G$18:$G$25</c:f>
              <c:strCache>
                <c:ptCount val="8"/>
                <c:pt idx="0">
                  <c:v>2007</c:v>
                </c:pt>
                <c:pt idx="1">
                  <c:v>2008</c:v>
                </c:pt>
                <c:pt idx="2">
                  <c:v>2009</c:v>
                </c:pt>
                <c:pt idx="3">
                  <c:v>2010</c:v>
                </c:pt>
                <c:pt idx="4">
                  <c:v>2011</c:v>
                </c:pt>
                <c:pt idx="5">
                  <c:v>2012</c:v>
                </c:pt>
                <c:pt idx="6">
                  <c:v>2013</c:v>
                </c:pt>
                <c:pt idx="7">
                  <c:v>2014</c:v>
                </c:pt>
              </c:strCache>
            </c:strRef>
          </c:cat>
          <c:val>
            <c:numRef>
              <c:f>Temporalitat!$I$18:$I$25</c:f>
              <c:numCache>
                <c:formatCode>0.0</c:formatCode>
                <c:ptCount val="8"/>
                <c:pt idx="0">
                  <c:v>18.899999999999999</c:v>
                </c:pt>
                <c:pt idx="1">
                  <c:v>15.3</c:v>
                </c:pt>
                <c:pt idx="2">
                  <c:v>14.7</c:v>
                </c:pt>
                <c:pt idx="3">
                  <c:v>16.8</c:v>
                </c:pt>
                <c:pt idx="4">
                  <c:v>16.899999999999999</c:v>
                </c:pt>
                <c:pt idx="5">
                  <c:v>15.9</c:v>
                </c:pt>
                <c:pt idx="6">
                  <c:v>16.899999999999999</c:v>
                </c:pt>
                <c:pt idx="7">
                  <c:v>16.600000000000001</c:v>
                </c:pt>
              </c:numCache>
            </c:numRef>
          </c:val>
          <c:smooth val="0"/>
        </c:ser>
        <c:dLbls>
          <c:showLegendKey val="0"/>
          <c:showVal val="1"/>
          <c:showCatName val="0"/>
          <c:showSerName val="0"/>
          <c:showPercent val="0"/>
          <c:showBubbleSize val="0"/>
        </c:dLbls>
        <c:marker val="1"/>
        <c:smooth val="0"/>
        <c:axId val="72961408"/>
        <c:axId val="72971392"/>
      </c:lineChart>
      <c:catAx>
        <c:axId val="72961408"/>
        <c:scaling>
          <c:orientation val="minMax"/>
        </c:scaling>
        <c:delete val="0"/>
        <c:axPos val="b"/>
        <c:majorTickMark val="none"/>
        <c:minorTickMark val="none"/>
        <c:tickLblPos val="nextTo"/>
        <c:crossAx val="72971392"/>
        <c:crosses val="autoZero"/>
        <c:auto val="1"/>
        <c:lblAlgn val="ctr"/>
        <c:lblOffset val="100"/>
        <c:noMultiLvlLbl val="0"/>
      </c:catAx>
      <c:valAx>
        <c:axId val="72971392"/>
        <c:scaling>
          <c:orientation val="minMax"/>
        </c:scaling>
        <c:delete val="0"/>
        <c:axPos val="l"/>
        <c:numFmt formatCode="0.0" sourceLinked="1"/>
        <c:majorTickMark val="none"/>
        <c:minorTickMark val="none"/>
        <c:tickLblPos val="nextTo"/>
        <c:crossAx val="72961408"/>
        <c:crosses val="autoZero"/>
        <c:crossBetween val="between"/>
      </c:valAx>
    </c:plotArea>
    <c:legend>
      <c:legendPos val="b"/>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Temporalitat!$B$82</c:f>
              <c:strCache>
                <c:ptCount val="1"/>
                <c:pt idx="0">
                  <c:v>Sector Públic</c:v>
                </c:pt>
              </c:strCache>
            </c:strRef>
          </c:tx>
          <c:dLbls>
            <c:dLbl>
              <c:idx val="6"/>
              <c:layout>
                <c:manualLayout>
                  <c:x val="5.2493438320211543E-3"/>
                  <c:y val="0.15591397849462707"/>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Temporalitat!$A$83:$A$90</c:f>
              <c:strCache>
                <c:ptCount val="8"/>
                <c:pt idx="0">
                  <c:v>2007</c:v>
                </c:pt>
                <c:pt idx="1">
                  <c:v>2008</c:v>
                </c:pt>
                <c:pt idx="2">
                  <c:v>2009</c:v>
                </c:pt>
                <c:pt idx="3">
                  <c:v>2010</c:v>
                </c:pt>
                <c:pt idx="4">
                  <c:v>2011</c:v>
                </c:pt>
                <c:pt idx="5">
                  <c:v>2012</c:v>
                </c:pt>
                <c:pt idx="6">
                  <c:v>2013</c:v>
                </c:pt>
                <c:pt idx="7">
                  <c:v>2014</c:v>
                </c:pt>
              </c:strCache>
            </c:strRef>
          </c:cat>
          <c:val>
            <c:numRef>
              <c:f>Temporalitat!$B$83:$B$90</c:f>
              <c:numCache>
                <c:formatCode>#,##0.0</c:formatCode>
                <c:ptCount val="8"/>
                <c:pt idx="0">
                  <c:v>26.1</c:v>
                </c:pt>
                <c:pt idx="1">
                  <c:v>24.7</c:v>
                </c:pt>
                <c:pt idx="2">
                  <c:v>25.9</c:v>
                </c:pt>
                <c:pt idx="3">
                  <c:v>24.8</c:v>
                </c:pt>
                <c:pt idx="4">
                  <c:v>22.8</c:v>
                </c:pt>
                <c:pt idx="5">
                  <c:v>21.4</c:v>
                </c:pt>
                <c:pt idx="6">
                  <c:v>18.100000000000001</c:v>
                </c:pt>
                <c:pt idx="7">
                  <c:v>18.7</c:v>
                </c:pt>
              </c:numCache>
            </c:numRef>
          </c:val>
          <c:smooth val="0"/>
        </c:ser>
        <c:ser>
          <c:idx val="1"/>
          <c:order val="1"/>
          <c:tx>
            <c:strRef>
              <c:f>Temporalitat!$C$82</c:f>
              <c:strCache>
                <c:ptCount val="1"/>
                <c:pt idx="0">
                  <c:v>Sector Privat</c:v>
                </c:pt>
              </c:strCache>
            </c:strRef>
          </c:tx>
          <c:dLbls>
            <c:dLbl>
              <c:idx val="6"/>
              <c:layout>
                <c:manualLayout>
                  <c:x val="5.2493438320211543E-3"/>
                  <c:y val="-0.15053763440860221"/>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Temporalitat!$A$83:$A$90</c:f>
              <c:strCache>
                <c:ptCount val="8"/>
                <c:pt idx="0">
                  <c:v>2007</c:v>
                </c:pt>
                <c:pt idx="1">
                  <c:v>2008</c:v>
                </c:pt>
                <c:pt idx="2">
                  <c:v>2009</c:v>
                </c:pt>
                <c:pt idx="3">
                  <c:v>2010</c:v>
                </c:pt>
                <c:pt idx="4">
                  <c:v>2011</c:v>
                </c:pt>
                <c:pt idx="5">
                  <c:v>2012</c:v>
                </c:pt>
                <c:pt idx="6">
                  <c:v>2013</c:v>
                </c:pt>
                <c:pt idx="7">
                  <c:v>2014</c:v>
                </c:pt>
              </c:strCache>
            </c:strRef>
          </c:cat>
          <c:val>
            <c:numRef>
              <c:f>Temporalitat!$C$83:$C$90</c:f>
              <c:numCache>
                <c:formatCode>#,##0.0</c:formatCode>
                <c:ptCount val="8"/>
                <c:pt idx="0">
                  <c:v>23.4</c:v>
                </c:pt>
                <c:pt idx="1">
                  <c:v>20.8</c:v>
                </c:pt>
                <c:pt idx="2">
                  <c:v>16.899999999999999</c:v>
                </c:pt>
                <c:pt idx="3">
                  <c:v>17</c:v>
                </c:pt>
                <c:pt idx="4">
                  <c:v>19.7</c:v>
                </c:pt>
                <c:pt idx="5">
                  <c:v>17.8</c:v>
                </c:pt>
                <c:pt idx="6">
                  <c:v>18.7</c:v>
                </c:pt>
                <c:pt idx="7">
                  <c:v>18.2</c:v>
                </c:pt>
              </c:numCache>
            </c:numRef>
          </c:val>
          <c:smooth val="0"/>
        </c:ser>
        <c:dLbls>
          <c:showLegendKey val="0"/>
          <c:showVal val="0"/>
          <c:showCatName val="0"/>
          <c:showSerName val="0"/>
          <c:showPercent val="0"/>
          <c:showBubbleSize val="0"/>
        </c:dLbls>
        <c:marker val="1"/>
        <c:smooth val="0"/>
        <c:axId val="73001216"/>
        <c:axId val="73007104"/>
      </c:lineChart>
      <c:catAx>
        <c:axId val="73001216"/>
        <c:scaling>
          <c:orientation val="minMax"/>
        </c:scaling>
        <c:delete val="0"/>
        <c:axPos val="b"/>
        <c:majorTickMark val="out"/>
        <c:minorTickMark val="none"/>
        <c:tickLblPos val="nextTo"/>
        <c:crossAx val="73007104"/>
        <c:crosses val="autoZero"/>
        <c:auto val="1"/>
        <c:lblAlgn val="ctr"/>
        <c:lblOffset val="100"/>
        <c:noMultiLvlLbl val="0"/>
      </c:catAx>
      <c:valAx>
        <c:axId val="73007104"/>
        <c:scaling>
          <c:orientation val="minMax"/>
        </c:scaling>
        <c:delete val="0"/>
        <c:axPos val="l"/>
        <c:majorGridlines/>
        <c:numFmt formatCode="#,##0.0" sourceLinked="1"/>
        <c:majorTickMark val="out"/>
        <c:minorTickMark val="none"/>
        <c:tickLblPos val="nextTo"/>
        <c:crossAx val="73001216"/>
        <c:crosses val="autoZero"/>
        <c:crossBetween val="between"/>
      </c:valAx>
    </c:plotArea>
    <c:legend>
      <c:legendPos val="b"/>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'Temps parcial'!$B$48</c:f>
              <c:strCache>
                <c:ptCount val="1"/>
                <c:pt idx="0">
                  <c:v>Catalunya</c:v>
                </c:pt>
              </c:strCache>
            </c:strRef>
          </c:tx>
          <c:cat>
            <c:strRef>
              <c:f>'Temps parcial'!$A$49:$A$56</c:f>
              <c:strCache>
                <c:ptCount val="8"/>
                <c:pt idx="0">
                  <c:v>     2007</c:v>
                </c:pt>
                <c:pt idx="1">
                  <c:v>     2008</c:v>
                </c:pt>
                <c:pt idx="2">
                  <c:v>     2009</c:v>
                </c:pt>
                <c:pt idx="3">
                  <c:v>     2010</c:v>
                </c:pt>
                <c:pt idx="4">
                  <c:v>     2011</c:v>
                </c:pt>
                <c:pt idx="5">
                  <c:v>     2012</c:v>
                </c:pt>
                <c:pt idx="6">
                  <c:v>     2013</c:v>
                </c:pt>
                <c:pt idx="7">
                  <c:v>     2014</c:v>
                </c:pt>
              </c:strCache>
            </c:strRef>
          </c:cat>
          <c:val>
            <c:numRef>
              <c:f>'Temps parcial'!$B$49:$B$56</c:f>
              <c:numCache>
                <c:formatCode>#,##0.0</c:formatCode>
                <c:ptCount val="8"/>
                <c:pt idx="0">
                  <c:v>11.6</c:v>
                </c:pt>
                <c:pt idx="1">
                  <c:v>11.6</c:v>
                </c:pt>
                <c:pt idx="2">
                  <c:v>11.6</c:v>
                </c:pt>
                <c:pt idx="3">
                  <c:v>12.3</c:v>
                </c:pt>
                <c:pt idx="4">
                  <c:v>13.4</c:v>
                </c:pt>
                <c:pt idx="5">
                  <c:v>13.8</c:v>
                </c:pt>
                <c:pt idx="6">
                  <c:v>15.3</c:v>
                </c:pt>
                <c:pt idx="7">
                  <c:v>15.3</c:v>
                </c:pt>
              </c:numCache>
            </c:numRef>
          </c:val>
          <c:smooth val="0"/>
        </c:ser>
        <c:ser>
          <c:idx val="1"/>
          <c:order val="1"/>
          <c:tx>
            <c:strRef>
              <c:f>'Temps parcial'!$C$48</c:f>
              <c:strCache>
                <c:ptCount val="1"/>
                <c:pt idx="0">
                  <c:v>Espanya</c:v>
                </c:pt>
              </c:strCache>
            </c:strRef>
          </c:tx>
          <c:cat>
            <c:strRef>
              <c:f>'Temps parcial'!$A$49:$A$56</c:f>
              <c:strCache>
                <c:ptCount val="8"/>
                <c:pt idx="0">
                  <c:v>     2007</c:v>
                </c:pt>
                <c:pt idx="1">
                  <c:v>     2008</c:v>
                </c:pt>
                <c:pt idx="2">
                  <c:v>     2009</c:v>
                </c:pt>
                <c:pt idx="3">
                  <c:v>     2010</c:v>
                </c:pt>
                <c:pt idx="4">
                  <c:v>     2011</c:v>
                </c:pt>
                <c:pt idx="5">
                  <c:v>     2012</c:v>
                </c:pt>
                <c:pt idx="6">
                  <c:v>     2013</c:v>
                </c:pt>
                <c:pt idx="7">
                  <c:v>     2014</c:v>
                </c:pt>
              </c:strCache>
            </c:strRef>
          </c:cat>
          <c:val>
            <c:numRef>
              <c:f>'Temps parcial'!$C$49:$C$56</c:f>
              <c:numCache>
                <c:formatCode>#,##0.0</c:formatCode>
                <c:ptCount val="8"/>
                <c:pt idx="0">
                  <c:v>11.6</c:v>
                </c:pt>
                <c:pt idx="1">
                  <c:v>11.8</c:v>
                </c:pt>
                <c:pt idx="2">
                  <c:v>12.5</c:v>
                </c:pt>
                <c:pt idx="3">
                  <c:v>13</c:v>
                </c:pt>
                <c:pt idx="4">
                  <c:v>13.6</c:v>
                </c:pt>
                <c:pt idx="5">
                  <c:v>14.5</c:v>
                </c:pt>
                <c:pt idx="6">
                  <c:v>15.8</c:v>
                </c:pt>
                <c:pt idx="7">
                  <c:v>15.9</c:v>
                </c:pt>
              </c:numCache>
            </c:numRef>
          </c:val>
          <c:smooth val="0"/>
        </c:ser>
        <c:ser>
          <c:idx val="2"/>
          <c:order val="2"/>
          <c:tx>
            <c:strRef>
              <c:f>'Temps parcial'!$D$48</c:f>
              <c:strCache>
                <c:ptCount val="1"/>
                <c:pt idx="0">
                  <c:v> UE-27</c:v>
                </c:pt>
              </c:strCache>
            </c:strRef>
          </c:tx>
          <c:cat>
            <c:strRef>
              <c:f>'Temps parcial'!$A$49:$A$56</c:f>
              <c:strCache>
                <c:ptCount val="8"/>
                <c:pt idx="0">
                  <c:v>     2007</c:v>
                </c:pt>
                <c:pt idx="1">
                  <c:v>     2008</c:v>
                </c:pt>
                <c:pt idx="2">
                  <c:v>     2009</c:v>
                </c:pt>
                <c:pt idx="3">
                  <c:v>     2010</c:v>
                </c:pt>
                <c:pt idx="4">
                  <c:v>     2011</c:v>
                </c:pt>
                <c:pt idx="5">
                  <c:v>     2012</c:v>
                </c:pt>
                <c:pt idx="6">
                  <c:v>     2013</c:v>
                </c:pt>
                <c:pt idx="7">
                  <c:v>     2014</c:v>
                </c:pt>
              </c:strCache>
            </c:strRef>
          </c:cat>
          <c:val>
            <c:numRef>
              <c:f>'Temps parcial'!$D$49:$D$56</c:f>
              <c:numCache>
                <c:formatCode>0.0</c:formatCode>
                <c:ptCount val="8"/>
                <c:pt idx="0">
                  <c:v>17.5</c:v>
                </c:pt>
                <c:pt idx="1">
                  <c:v>17.5</c:v>
                </c:pt>
                <c:pt idx="2">
                  <c:v>18</c:v>
                </c:pt>
                <c:pt idx="3">
                  <c:v>18.5</c:v>
                </c:pt>
                <c:pt idx="4">
                  <c:v>18.8</c:v>
                </c:pt>
                <c:pt idx="5">
                  <c:v>19.2</c:v>
                </c:pt>
                <c:pt idx="6">
                  <c:v>19.600000000000001</c:v>
                </c:pt>
                <c:pt idx="7">
                  <c:v>19.600000000000001</c:v>
                </c:pt>
              </c:numCache>
            </c:numRef>
          </c:val>
          <c:smooth val="0"/>
        </c:ser>
        <c:dLbls>
          <c:showLegendKey val="0"/>
          <c:showVal val="0"/>
          <c:showCatName val="0"/>
          <c:showSerName val="0"/>
          <c:showPercent val="0"/>
          <c:showBubbleSize val="0"/>
        </c:dLbls>
        <c:marker val="1"/>
        <c:smooth val="0"/>
        <c:axId val="73041024"/>
        <c:axId val="73042560"/>
      </c:lineChart>
      <c:catAx>
        <c:axId val="73041024"/>
        <c:scaling>
          <c:orientation val="minMax"/>
        </c:scaling>
        <c:delete val="0"/>
        <c:axPos val="b"/>
        <c:majorTickMark val="none"/>
        <c:minorTickMark val="none"/>
        <c:tickLblPos val="nextTo"/>
        <c:crossAx val="73042560"/>
        <c:crosses val="autoZero"/>
        <c:auto val="1"/>
        <c:lblAlgn val="ctr"/>
        <c:lblOffset val="100"/>
        <c:noMultiLvlLbl val="0"/>
      </c:catAx>
      <c:valAx>
        <c:axId val="73042560"/>
        <c:scaling>
          <c:orientation val="minMax"/>
        </c:scaling>
        <c:delete val="0"/>
        <c:axPos val="l"/>
        <c:majorGridlines/>
        <c:numFmt formatCode="#,##0.0" sourceLinked="1"/>
        <c:majorTickMark val="none"/>
        <c:minorTickMark val="none"/>
        <c:tickLblPos val="nextTo"/>
        <c:crossAx val="730410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'Temps parcial'!$H$3</c:f>
              <c:strCache>
                <c:ptCount val="1"/>
                <c:pt idx="0">
                  <c:v>Homes </c:v>
                </c:pt>
              </c:strCache>
            </c:strRef>
          </c:tx>
          <c:dLbls>
            <c:dLblPos val="t"/>
            <c:showLegendKey val="0"/>
            <c:showVal val="1"/>
            <c:showCatName val="0"/>
            <c:showSerName val="0"/>
            <c:showPercent val="0"/>
            <c:showBubbleSize val="0"/>
            <c:showLeaderLines val="0"/>
          </c:dLbls>
          <c:cat>
            <c:strRef>
              <c:f>'Temps parcial'!$F$4:$F$11</c:f>
              <c:strCache>
                <c:ptCount val="8"/>
                <c:pt idx="0">
                  <c:v>     2007</c:v>
                </c:pt>
                <c:pt idx="1">
                  <c:v>     2008</c:v>
                </c:pt>
                <c:pt idx="2">
                  <c:v>     2009</c:v>
                </c:pt>
                <c:pt idx="3">
                  <c:v>     2010</c:v>
                </c:pt>
                <c:pt idx="4">
                  <c:v>     2011</c:v>
                </c:pt>
                <c:pt idx="5">
                  <c:v>     2012</c:v>
                </c:pt>
                <c:pt idx="6">
                  <c:v>     2013</c:v>
                </c:pt>
                <c:pt idx="7">
                  <c:v>     2014</c:v>
                </c:pt>
              </c:strCache>
            </c:strRef>
          </c:cat>
          <c:val>
            <c:numRef>
              <c:f>'Temps parcial'!$H$4:$H$11</c:f>
              <c:numCache>
                <c:formatCode>#,##0.0</c:formatCode>
                <c:ptCount val="8"/>
                <c:pt idx="0">
                  <c:v>4.3</c:v>
                </c:pt>
                <c:pt idx="1">
                  <c:v>4.2</c:v>
                </c:pt>
                <c:pt idx="2">
                  <c:v>4.7</c:v>
                </c:pt>
                <c:pt idx="3">
                  <c:v>4.8</c:v>
                </c:pt>
                <c:pt idx="4">
                  <c:v>5.7</c:v>
                </c:pt>
                <c:pt idx="5">
                  <c:v>6.3</c:v>
                </c:pt>
                <c:pt idx="6">
                  <c:v>8.1</c:v>
                </c:pt>
                <c:pt idx="7">
                  <c:v>7.9</c:v>
                </c:pt>
              </c:numCache>
            </c:numRef>
          </c:val>
          <c:smooth val="0"/>
        </c:ser>
        <c:ser>
          <c:idx val="1"/>
          <c:order val="1"/>
          <c:tx>
            <c:strRef>
              <c:f>'Temps parcial'!$I$3</c:f>
              <c:strCache>
                <c:ptCount val="1"/>
                <c:pt idx="0">
                  <c:v>Dones</c:v>
                </c:pt>
              </c:strCache>
            </c:strRef>
          </c:tx>
          <c:dLbls>
            <c:dLblPos val="t"/>
            <c:showLegendKey val="0"/>
            <c:showVal val="1"/>
            <c:showCatName val="0"/>
            <c:showSerName val="0"/>
            <c:showPercent val="0"/>
            <c:showBubbleSize val="0"/>
            <c:showLeaderLines val="0"/>
          </c:dLbls>
          <c:cat>
            <c:strRef>
              <c:f>'Temps parcial'!$F$4:$F$11</c:f>
              <c:strCache>
                <c:ptCount val="8"/>
                <c:pt idx="0">
                  <c:v>     2007</c:v>
                </c:pt>
                <c:pt idx="1">
                  <c:v>     2008</c:v>
                </c:pt>
                <c:pt idx="2">
                  <c:v>     2009</c:v>
                </c:pt>
                <c:pt idx="3">
                  <c:v>     2010</c:v>
                </c:pt>
                <c:pt idx="4">
                  <c:v>     2011</c:v>
                </c:pt>
                <c:pt idx="5">
                  <c:v>     2012</c:v>
                </c:pt>
                <c:pt idx="6">
                  <c:v>     2013</c:v>
                </c:pt>
                <c:pt idx="7">
                  <c:v>     2014</c:v>
                </c:pt>
              </c:strCache>
            </c:strRef>
          </c:cat>
          <c:val>
            <c:numRef>
              <c:f>'Temps parcial'!$I$4:$I$11</c:f>
              <c:numCache>
                <c:formatCode>#,##0.0</c:formatCode>
                <c:ptCount val="8"/>
                <c:pt idx="0">
                  <c:v>21.5</c:v>
                </c:pt>
                <c:pt idx="1">
                  <c:v>21.1</c:v>
                </c:pt>
                <c:pt idx="2">
                  <c:v>20</c:v>
                </c:pt>
                <c:pt idx="3">
                  <c:v>21.1</c:v>
                </c:pt>
                <c:pt idx="4">
                  <c:v>22.3</c:v>
                </c:pt>
                <c:pt idx="5">
                  <c:v>22.3</c:v>
                </c:pt>
                <c:pt idx="6">
                  <c:v>23.4</c:v>
                </c:pt>
                <c:pt idx="7">
                  <c:v>23.5</c:v>
                </c:pt>
              </c:numCache>
            </c:numRef>
          </c:val>
          <c:smooth val="0"/>
        </c:ser>
        <c:dLbls>
          <c:showLegendKey val="0"/>
          <c:showVal val="1"/>
          <c:showCatName val="0"/>
          <c:showSerName val="0"/>
          <c:showPercent val="0"/>
          <c:showBubbleSize val="0"/>
        </c:dLbls>
        <c:marker val="1"/>
        <c:smooth val="0"/>
        <c:axId val="43320448"/>
        <c:axId val="43321984"/>
      </c:lineChart>
      <c:catAx>
        <c:axId val="43320448"/>
        <c:scaling>
          <c:orientation val="minMax"/>
        </c:scaling>
        <c:delete val="0"/>
        <c:axPos val="b"/>
        <c:majorTickMark val="none"/>
        <c:minorTickMark val="none"/>
        <c:tickLblPos val="nextTo"/>
        <c:crossAx val="43321984"/>
        <c:crosses val="autoZero"/>
        <c:auto val="1"/>
        <c:lblAlgn val="ctr"/>
        <c:lblOffset val="100"/>
        <c:noMultiLvlLbl val="0"/>
      </c:catAx>
      <c:valAx>
        <c:axId val="43321984"/>
        <c:scaling>
          <c:orientation val="minMax"/>
        </c:scaling>
        <c:delete val="0"/>
        <c:axPos val="l"/>
        <c:numFmt formatCode="#,##0.0" sourceLinked="1"/>
        <c:majorTickMark val="none"/>
        <c:minorTickMark val="none"/>
        <c:tickLblPos val="nextTo"/>
        <c:crossAx val="43320448"/>
        <c:crosses val="autoZero"/>
        <c:crossBetween val="between"/>
      </c:valAx>
    </c:plotArea>
    <c:legend>
      <c:legendPos val="b"/>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'Temps parcial'!$J$42</c:f>
              <c:strCache>
                <c:ptCount val="1"/>
                <c:pt idx="0">
                  <c:v>16 a 24 anys</c:v>
                </c:pt>
              </c:strCache>
            </c:strRef>
          </c:tx>
          <c:dLbls>
            <c:dLblPos val="t"/>
            <c:showLegendKey val="0"/>
            <c:showVal val="1"/>
            <c:showCatName val="0"/>
            <c:showSerName val="0"/>
            <c:showPercent val="0"/>
            <c:showBubbleSize val="0"/>
            <c:showLeaderLines val="0"/>
          </c:dLbls>
          <c:cat>
            <c:strRef>
              <c:f>'Temps parcial'!$I$43:$I$50</c:f>
              <c:strCache>
                <c:ptCount val="8"/>
                <c:pt idx="0">
                  <c:v>2007</c:v>
                </c:pt>
                <c:pt idx="1">
                  <c:v>2008</c:v>
                </c:pt>
                <c:pt idx="2">
                  <c:v>2009</c:v>
                </c:pt>
                <c:pt idx="3">
                  <c:v>2010</c:v>
                </c:pt>
                <c:pt idx="4">
                  <c:v>2011</c:v>
                </c:pt>
                <c:pt idx="5">
                  <c:v>2012</c:v>
                </c:pt>
                <c:pt idx="6">
                  <c:v>2013</c:v>
                </c:pt>
                <c:pt idx="7">
                  <c:v>2014</c:v>
                </c:pt>
              </c:strCache>
            </c:strRef>
          </c:cat>
          <c:val>
            <c:numRef>
              <c:f>'Temps parcial'!$J$43:$J$50</c:f>
              <c:numCache>
                <c:formatCode>0.0</c:formatCode>
                <c:ptCount val="8"/>
                <c:pt idx="0">
                  <c:v>24.156817526664831</c:v>
                </c:pt>
                <c:pt idx="1">
                  <c:v>26.761453396524487</c:v>
                </c:pt>
                <c:pt idx="2">
                  <c:v>25.703324808184089</c:v>
                </c:pt>
                <c:pt idx="3">
                  <c:v>33.676814988290396</c:v>
                </c:pt>
                <c:pt idx="4">
                  <c:v>36.291179596175013</c:v>
                </c:pt>
                <c:pt idx="5">
                  <c:v>40.604890604890294</c:v>
                </c:pt>
                <c:pt idx="6">
                  <c:v>44.327868852459005</c:v>
                </c:pt>
                <c:pt idx="7">
                  <c:v>58.178191489361694</c:v>
                </c:pt>
              </c:numCache>
            </c:numRef>
          </c:val>
          <c:smooth val="0"/>
        </c:ser>
        <c:ser>
          <c:idx val="1"/>
          <c:order val="1"/>
          <c:tx>
            <c:strRef>
              <c:f>'Temps parcial'!$K$42</c:f>
              <c:strCache>
                <c:ptCount val="1"/>
                <c:pt idx="0">
                  <c:v>25 i més anys </c:v>
                </c:pt>
              </c:strCache>
            </c:strRef>
          </c:tx>
          <c:dLbls>
            <c:dLblPos val="t"/>
            <c:showLegendKey val="0"/>
            <c:showVal val="1"/>
            <c:showCatName val="0"/>
            <c:showSerName val="0"/>
            <c:showPercent val="0"/>
            <c:showBubbleSize val="0"/>
            <c:showLeaderLines val="0"/>
          </c:dLbls>
          <c:cat>
            <c:strRef>
              <c:f>'Temps parcial'!$I$43:$I$50</c:f>
              <c:strCache>
                <c:ptCount val="8"/>
                <c:pt idx="0">
                  <c:v>2007</c:v>
                </c:pt>
                <c:pt idx="1">
                  <c:v>2008</c:v>
                </c:pt>
                <c:pt idx="2">
                  <c:v>2009</c:v>
                </c:pt>
                <c:pt idx="3">
                  <c:v>2010</c:v>
                </c:pt>
                <c:pt idx="4">
                  <c:v>2011</c:v>
                </c:pt>
                <c:pt idx="5">
                  <c:v>2012</c:v>
                </c:pt>
                <c:pt idx="6">
                  <c:v>2013</c:v>
                </c:pt>
                <c:pt idx="7">
                  <c:v>2014</c:v>
                </c:pt>
              </c:strCache>
            </c:strRef>
          </c:cat>
          <c:val>
            <c:numRef>
              <c:f>'Temps parcial'!$K$43:$K$50</c:f>
              <c:numCache>
                <c:formatCode>0.0</c:formatCode>
                <c:ptCount val="8"/>
                <c:pt idx="0">
                  <c:v>10.283007183552098</c:v>
                </c:pt>
                <c:pt idx="1">
                  <c:v>10.129257534917922</c:v>
                </c:pt>
                <c:pt idx="2">
                  <c:v>10.537683673135453</c:v>
                </c:pt>
                <c:pt idx="3">
                  <c:v>10.745462331587452</c:v>
                </c:pt>
                <c:pt idx="4">
                  <c:v>11.926058437686352</c:v>
                </c:pt>
                <c:pt idx="5">
                  <c:v>12.377442458799992</c:v>
                </c:pt>
                <c:pt idx="6">
                  <c:v>13.706070287539937</c:v>
                </c:pt>
                <c:pt idx="7">
                  <c:v>13.8899496615171</c:v>
                </c:pt>
              </c:numCache>
            </c:numRef>
          </c:val>
          <c:smooth val="0"/>
        </c:ser>
        <c:dLbls>
          <c:showLegendKey val="0"/>
          <c:showVal val="1"/>
          <c:showCatName val="0"/>
          <c:showSerName val="0"/>
          <c:showPercent val="0"/>
          <c:showBubbleSize val="0"/>
        </c:dLbls>
        <c:marker val="1"/>
        <c:smooth val="0"/>
        <c:axId val="43352064"/>
        <c:axId val="43353600"/>
      </c:lineChart>
      <c:catAx>
        <c:axId val="43352064"/>
        <c:scaling>
          <c:orientation val="minMax"/>
        </c:scaling>
        <c:delete val="0"/>
        <c:axPos val="b"/>
        <c:majorTickMark val="none"/>
        <c:minorTickMark val="none"/>
        <c:tickLblPos val="nextTo"/>
        <c:crossAx val="43353600"/>
        <c:crosses val="autoZero"/>
        <c:auto val="1"/>
        <c:lblAlgn val="ctr"/>
        <c:lblOffset val="100"/>
        <c:noMultiLvlLbl val="0"/>
      </c:catAx>
      <c:valAx>
        <c:axId val="43353600"/>
        <c:scaling>
          <c:orientation val="minMax"/>
        </c:scaling>
        <c:delete val="0"/>
        <c:axPos val="l"/>
        <c:numFmt formatCode="0.0" sourceLinked="1"/>
        <c:majorTickMark val="none"/>
        <c:minorTickMark val="none"/>
        <c:tickLblPos val="nextTo"/>
        <c:crossAx val="43352064"/>
        <c:crosses val="autoZero"/>
        <c:crossBetween val="between"/>
      </c:valAx>
    </c:plotArea>
    <c:legend>
      <c:legendPos val="b"/>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'Temps parcial'!$H$18</c:f>
              <c:strCache>
                <c:ptCount val="1"/>
                <c:pt idx="0">
                  <c:v>Nacionalitat Espanyola</c:v>
                </c:pt>
              </c:strCache>
            </c:strRef>
          </c:tx>
          <c:dLbls>
            <c:dLblPos val="b"/>
            <c:showLegendKey val="0"/>
            <c:showVal val="1"/>
            <c:showCatName val="0"/>
            <c:showSerName val="0"/>
            <c:showPercent val="0"/>
            <c:showBubbleSize val="0"/>
            <c:showLeaderLines val="0"/>
          </c:dLbls>
          <c:cat>
            <c:strRef>
              <c:f>'Temps parcial'!$G$19:$G$26</c:f>
              <c:strCache>
                <c:ptCount val="8"/>
                <c:pt idx="0">
                  <c:v>     2007</c:v>
                </c:pt>
                <c:pt idx="1">
                  <c:v>     2008</c:v>
                </c:pt>
                <c:pt idx="2">
                  <c:v>     2009</c:v>
                </c:pt>
                <c:pt idx="3">
                  <c:v>     2010</c:v>
                </c:pt>
                <c:pt idx="4">
                  <c:v>     2011</c:v>
                </c:pt>
                <c:pt idx="5">
                  <c:v>     2012</c:v>
                </c:pt>
                <c:pt idx="6">
                  <c:v>     2013</c:v>
                </c:pt>
                <c:pt idx="7">
                  <c:v>     2014</c:v>
                </c:pt>
              </c:strCache>
            </c:strRef>
          </c:cat>
          <c:val>
            <c:numRef>
              <c:f>'Temps parcial'!$H$19:$H$26</c:f>
              <c:numCache>
                <c:formatCode>0.0</c:formatCode>
                <c:ptCount val="8"/>
                <c:pt idx="0">
                  <c:v>11.2</c:v>
                </c:pt>
                <c:pt idx="1">
                  <c:v>11.6</c:v>
                </c:pt>
                <c:pt idx="2">
                  <c:v>11.4</c:v>
                </c:pt>
                <c:pt idx="3">
                  <c:v>11.7</c:v>
                </c:pt>
                <c:pt idx="4">
                  <c:v>12.6</c:v>
                </c:pt>
                <c:pt idx="5">
                  <c:v>13</c:v>
                </c:pt>
                <c:pt idx="6">
                  <c:v>14.9</c:v>
                </c:pt>
                <c:pt idx="7">
                  <c:v>13.8</c:v>
                </c:pt>
              </c:numCache>
            </c:numRef>
          </c:val>
          <c:smooth val="0"/>
        </c:ser>
        <c:ser>
          <c:idx val="1"/>
          <c:order val="1"/>
          <c:tx>
            <c:strRef>
              <c:f>'Temps parcial'!$I$18</c:f>
              <c:strCache>
                <c:ptCount val="1"/>
                <c:pt idx="0">
                  <c:v>Nacionalitat Estrangera</c:v>
                </c:pt>
              </c:strCache>
            </c:strRef>
          </c:tx>
          <c:dLbls>
            <c:dLblPos val="t"/>
            <c:showLegendKey val="0"/>
            <c:showVal val="1"/>
            <c:showCatName val="0"/>
            <c:showSerName val="0"/>
            <c:showPercent val="0"/>
            <c:showBubbleSize val="0"/>
            <c:showLeaderLines val="0"/>
          </c:dLbls>
          <c:cat>
            <c:strRef>
              <c:f>'Temps parcial'!$G$19:$G$26</c:f>
              <c:strCache>
                <c:ptCount val="8"/>
                <c:pt idx="0">
                  <c:v>     2007</c:v>
                </c:pt>
                <c:pt idx="1">
                  <c:v>     2008</c:v>
                </c:pt>
                <c:pt idx="2">
                  <c:v>     2009</c:v>
                </c:pt>
                <c:pt idx="3">
                  <c:v>     2010</c:v>
                </c:pt>
                <c:pt idx="4">
                  <c:v>     2011</c:v>
                </c:pt>
                <c:pt idx="5">
                  <c:v>     2012</c:v>
                </c:pt>
                <c:pt idx="6">
                  <c:v>     2013</c:v>
                </c:pt>
                <c:pt idx="7">
                  <c:v>     2014</c:v>
                </c:pt>
              </c:strCache>
            </c:strRef>
          </c:cat>
          <c:val>
            <c:numRef>
              <c:f>'Temps parcial'!$I$19:$I$26</c:f>
              <c:numCache>
                <c:formatCode>0.0</c:formatCode>
                <c:ptCount val="8"/>
                <c:pt idx="0">
                  <c:v>15</c:v>
                </c:pt>
                <c:pt idx="1">
                  <c:v>13.1</c:v>
                </c:pt>
                <c:pt idx="2">
                  <c:v>14.4</c:v>
                </c:pt>
                <c:pt idx="3">
                  <c:v>14.4</c:v>
                </c:pt>
                <c:pt idx="4">
                  <c:v>19.7</c:v>
                </c:pt>
                <c:pt idx="5">
                  <c:v>22.7</c:v>
                </c:pt>
                <c:pt idx="6">
                  <c:v>22.1</c:v>
                </c:pt>
                <c:pt idx="7">
                  <c:v>22.8</c:v>
                </c:pt>
              </c:numCache>
            </c:numRef>
          </c:val>
          <c:smooth val="0"/>
        </c:ser>
        <c:dLbls>
          <c:showLegendKey val="0"/>
          <c:showVal val="0"/>
          <c:showCatName val="0"/>
          <c:showSerName val="0"/>
          <c:showPercent val="0"/>
          <c:showBubbleSize val="0"/>
        </c:dLbls>
        <c:marker val="1"/>
        <c:smooth val="0"/>
        <c:axId val="73075328"/>
        <c:axId val="73097600"/>
      </c:lineChart>
      <c:catAx>
        <c:axId val="73075328"/>
        <c:scaling>
          <c:orientation val="minMax"/>
        </c:scaling>
        <c:delete val="0"/>
        <c:axPos val="b"/>
        <c:majorTickMark val="none"/>
        <c:minorTickMark val="none"/>
        <c:tickLblPos val="nextTo"/>
        <c:crossAx val="73097600"/>
        <c:crosses val="autoZero"/>
        <c:auto val="1"/>
        <c:lblAlgn val="ctr"/>
        <c:lblOffset val="100"/>
        <c:noMultiLvlLbl val="0"/>
      </c:catAx>
      <c:valAx>
        <c:axId val="73097600"/>
        <c:scaling>
          <c:orientation val="minMax"/>
        </c:scaling>
        <c:delete val="0"/>
        <c:axPos val="l"/>
        <c:numFmt formatCode="0.0" sourceLinked="1"/>
        <c:majorTickMark val="none"/>
        <c:minorTickMark val="none"/>
        <c:tickLblPos val="nextTo"/>
        <c:crossAx val="73075328"/>
        <c:crosses val="autoZero"/>
        <c:crossBetween val="between"/>
      </c:valAx>
    </c:plotArea>
    <c:legend>
      <c:legendPos val="b"/>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Pobresa!$L$39:$L$41</c:f>
              <c:strCache>
                <c:ptCount val="3"/>
                <c:pt idx="0">
                  <c:v>menys de 18 anys</c:v>
                </c:pt>
                <c:pt idx="1">
                  <c:v>de 18 a 64 anys</c:v>
                </c:pt>
                <c:pt idx="2">
                  <c:v>65 anys i més</c:v>
                </c:pt>
              </c:strCache>
            </c:strRef>
          </c:cat>
          <c:val>
            <c:numRef>
              <c:f>Pobresa!$M$39:$M$41</c:f>
              <c:numCache>
                <c:formatCode>0.0%</c:formatCode>
                <c:ptCount val="3"/>
                <c:pt idx="0">
                  <c:v>0.29900000000000032</c:v>
                </c:pt>
                <c:pt idx="1">
                  <c:v>0.2</c:v>
                </c:pt>
                <c:pt idx="2">
                  <c:v>0.14400000000000004</c:v>
                </c:pt>
              </c:numCache>
            </c:numRef>
          </c:val>
        </c:ser>
        <c:dLbls>
          <c:showLegendKey val="0"/>
          <c:showVal val="1"/>
          <c:showCatName val="0"/>
          <c:showSerName val="0"/>
          <c:showPercent val="0"/>
          <c:showBubbleSize val="0"/>
        </c:dLbls>
        <c:gapWidth val="150"/>
        <c:axId val="77926784"/>
        <c:axId val="77928320"/>
      </c:barChart>
      <c:catAx>
        <c:axId val="77926784"/>
        <c:scaling>
          <c:orientation val="minMax"/>
        </c:scaling>
        <c:delete val="0"/>
        <c:axPos val="b"/>
        <c:majorTickMark val="out"/>
        <c:minorTickMark val="none"/>
        <c:tickLblPos val="nextTo"/>
        <c:crossAx val="77928320"/>
        <c:crosses val="autoZero"/>
        <c:auto val="1"/>
        <c:lblAlgn val="ctr"/>
        <c:lblOffset val="100"/>
        <c:noMultiLvlLbl val="0"/>
      </c:catAx>
      <c:valAx>
        <c:axId val="77928320"/>
        <c:scaling>
          <c:orientation val="minMax"/>
        </c:scaling>
        <c:delete val="0"/>
        <c:axPos val="l"/>
        <c:majorGridlines/>
        <c:numFmt formatCode="0.0%" sourceLinked="1"/>
        <c:majorTickMark val="out"/>
        <c:minorTickMark val="none"/>
        <c:tickLblPos val="nextTo"/>
        <c:crossAx val="77926784"/>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Pobresa!$A$157</c:f>
              <c:strCache>
                <c:ptCount val="1"/>
                <c:pt idx="0">
                  <c:v>Catalunya</c:v>
                </c:pt>
              </c:strCache>
            </c:strRef>
          </c:tx>
          <c:dLbls>
            <c:dLbl>
              <c:idx val="0"/>
              <c:layout>
                <c:manualLayout>
                  <c:x val="4.0968378509016893E-3"/>
                  <c:y val="-3.2407407407407836E-2"/>
                </c:manualLayout>
              </c:layout>
              <c:dLblPos val="b"/>
              <c:showLegendKey val="0"/>
              <c:showVal val="1"/>
              <c:showCatName val="0"/>
              <c:showSerName val="0"/>
              <c:showPercent val="0"/>
              <c:showBubbleSize val="0"/>
            </c:dLbl>
            <c:dLbl>
              <c:idx val="1"/>
              <c:layout>
                <c:manualLayout>
                  <c:x val="2.7778077889477307E-3"/>
                  <c:y val="-0.1111111111111111"/>
                </c:manualLayout>
              </c:layout>
              <c:dLblPos val="b"/>
              <c:showLegendKey val="0"/>
              <c:showVal val="1"/>
              <c:showCatName val="0"/>
              <c:showSerName val="0"/>
              <c:showPercent val="0"/>
              <c:showBubbleSize val="0"/>
            </c:dLbl>
            <c:dLbl>
              <c:idx val="2"/>
              <c:layout>
                <c:manualLayout>
                  <c:x val="2.6449653026511692E-2"/>
                  <c:y val="-2.7778142315544239E-2"/>
                </c:manualLayout>
              </c:layout>
              <c:dLblPos val="b"/>
              <c:showLegendKey val="0"/>
              <c:showVal val="1"/>
              <c:showCatName val="0"/>
              <c:showSerName val="0"/>
              <c:showPercent val="0"/>
              <c:showBubbleSize val="0"/>
            </c:dLbl>
            <c:dLbl>
              <c:idx val="3"/>
              <c:layout>
                <c:manualLayout>
                  <c:x val="-1.2834002791195379E-2"/>
                  <c:y val="-0.12037073490813679"/>
                </c:manualLayout>
              </c:layout>
              <c:dLblPos val="b"/>
              <c:showLegendKey val="0"/>
              <c:showVal val="1"/>
              <c:showCatName val="0"/>
              <c:showSerName val="0"/>
              <c:showPercent val="0"/>
              <c:showBubbleSize val="0"/>
            </c:dLbl>
            <c:dLbl>
              <c:idx val="4"/>
              <c:layout>
                <c:manualLayout>
                  <c:x val="7.0951885935842465E-3"/>
                  <c:y val="-0.1203710994459026"/>
                </c:manualLayout>
              </c:layout>
              <c:dLblPos val="b"/>
              <c:showLegendKey val="0"/>
              <c:showVal val="1"/>
              <c:showCatName val="0"/>
              <c:showSerName val="0"/>
              <c:showPercent val="0"/>
              <c:showBubbleSize val="0"/>
            </c:dLbl>
            <c:dLbl>
              <c:idx val="5"/>
              <c:layout>
                <c:manualLayout>
                  <c:x val="3.2497556177386998E-2"/>
                  <c:y val="-0.10185221638961796"/>
                </c:manualLayout>
              </c:layout>
              <c:dLblPos val="b"/>
              <c:showLegendKey val="0"/>
              <c:showVal val="1"/>
              <c:showCatName val="0"/>
              <c:showSerName val="0"/>
              <c:showPercent val="0"/>
              <c:showBubbleSize val="0"/>
            </c:dLbl>
            <c:dLbl>
              <c:idx val="6"/>
              <c:layout>
                <c:manualLayout>
                  <c:x val="5.0292483642477133E-2"/>
                  <c:y val="-6.0185185185185147E-2"/>
                </c:manualLayout>
              </c:layout>
              <c:dLblPos val="b"/>
              <c:showLegendKey val="0"/>
              <c:showVal val="1"/>
              <c:showCatName val="0"/>
              <c:showSerName val="0"/>
              <c:showPercent val="0"/>
              <c:showBubbleSize val="0"/>
            </c:dLbl>
            <c:dLbl>
              <c:idx val="7"/>
              <c:layout>
                <c:manualLayout>
                  <c:x val="5.9656986420284904E-3"/>
                  <c:y val="-0.10648148148148254"/>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numRef>
              <c:f>Pobresa!$B$156:$I$156</c:f>
              <c:numCache>
                <c:formatCode>General</c:formatCode>
                <c:ptCount val="8"/>
                <c:pt idx="0">
                  <c:v>2007</c:v>
                </c:pt>
                <c:pt idx="1">
                  <c:v>2008</c:v>
                </c:pt>
                <c:pt idx="2">
                  <c:v>2009</c:v>
                </c:pt>
                <c:pt idx="3">
                  <c:v>2010</c:v>
                </c:pt>
                <c:pt idx="4">
                  <c:v>2011</c:v>
                </c:pt>
                <c:pt idx="5">
                  <c:v>2012</c:v>
                </c:pt>
                <c:pt idx="6">
                  <c:v>2013</c:v>
                </c:pt>
                <c:pt idx="7">
                  <c:v>2014</c:v>
                </c:pt>
              </c:numCache>
            </c:numRef>
          </c:cat>
          <c:val>
            <c:numRef>
              <c:f>Pobresa!$B$157:$I$157</c:f>
              <c:numCache>
                <c:formatCode>0.0</c:formatCode>
                <c:ptCount val="8"/>
                <c:pt idx="0">
                  <c:v>22.3</c:v>
                </c:pt>
                <c:pt idx="1">
                  <c:v>26.7</c:v>
                </c:pt>
                <c:pt idx="2">
                  <c:v>25.1</c:v>
                </c:pt>
                <c:pt idx="3">
                  <c:v>26.4</c:v>
                </c:pt>
                <c:pt idx="4">
                  <c:v>30.5</c:v>
                </c:pt>
                <c:pt idx="5">
                  <c:v>38.200000000000003</c:v>
                </c:pt>
                <c:pt idx="6">
                  <c:v>27</c:v>
                </c:pt>
                <c:pt idx="7">
                  <c:v>37.300000000000004</c:v>
                </c:pt>
              </c:numCache>
            </c:numRef>
          </c:val>
          <c:smooth val="0"/>
        </c:ser>
        <c:ser>
          <c:idx val="1"/>
          <c:order val="1"/>
          <c:tx>
            <c:strRef>
              <c:f>Pobresa!$A$158</c:f>
              <c:strCache>
                <c:ptCount val="1"/>
                <c:pt idx="0">
                  <c:v>Espanya</c:v>
                </c:pt>
              </c:strCache>
            </c:strRef>
          </c:tx>
          <c:dLbls>
            <c:dLbl>
              <c:idx val="0"/>
              <c:layout>
                <c:manualLayout>
                  <c:x val="-1.5471828045078323E-2"/>
                  <c:y val="1.3888888888889063E-2"/>
                </c:manualLayout>
              </c:layout>
              <c:dLblPos val="t"/>
              <c:showLegendKey val="0"/>
              <c:showVal val="1"/>
              <c:showCatName val="0"/>
              <c:showSerName val="0"/>
              <c:showPercent val="0"/>
              <c:showBubbleSize val="0"/>
            </c:dLbl>
            <c:dLbl>
              <c:idx val="1"/>
              <c:layout>
                <c:manualLayout>
                  <c:x val="4.7197131579355314E-3"/>
                  <c:y val="0.1111111111111111"/>
                </c:manualLayout>
              </c:layout>
              <c:dLblPos val="t"/>
              <c:showLegendKey val="0"/>
              <c:showVal val="1"/>
              <c:showCatName val="0"/>
              <c:showSerName val="0"/>
              <c:showPercent val="0"/>
              <c:showBubbleSize val="0"/>
            </c:dLbl>
            <c:dLbl>
              <c:idx val="2"/>
              <c:layout>
                <c:manualLayout>
                  <c:x val="0"/>
                  <c:y val="9.2592592592594235E-3"/>
                </c:manualLayout>
              </c:layout>
              <c:dLblPos val="t"/>
              <c:showLegendKey val="0"/>
              <c:showVal val="1"/>
              <c:showCatName val="0"/>
              <c:showSerName val="0"/>
              <c:showPercent val="0"/>
              <c:showBubbleSize val="0"/>
            </c:dLbl>
            <c:dLbl>
              <c:idx val="3"/>
              <c:layout>
                <c:manualLayout>
                  <c:x val="5.3691287778256387E-2"/>
                  <c:y val="8.3332968795568382E-2"/>
                </c:manualLayout>
              </c:layout>
              <c:dLblPos val="t"/>
              <c:showLegendKey val="0"/>
              <c:showVal val="1"/>
              <c:showCatName val="0"/>
              <c:showSerName val="0"/>
              <c:showPercent val="0"/>
              <c:showBubbleSize val="0"/>
            </c:dLbl>
            <c:dLbl>
              <c:idx val="4"/>
              <c:layout>
                <c:manualLayout>
                  <c:x val="4.7102713829194134E-2"/>
                  <c:y val="7.407407407407407E-2"/>
                </c:manualLayout>
              </c:layout>
              <c:dLblPos val="t"/>
              <c:showLegendKey val="0"/>
              <c:showVal val="1"/>
              <c:showCatName val="0"/>
              <c:showSerName val="0"/>
              <c:showPercent val="0"/>
              <c:showBubbleSize val="0"/>
            </c:dLbl>
            <c:dLbl>
              <c:idx val="5"/>
              <c:layout>
                <c:manualLayout>
                  <c:x val="4.5877162037300176E-3"/>
                  <c:y val="9.2588947214931674E-3"/>
                </c:manualLayout>
              </c:layout>
              <c:dLblPos val="t"/>
              <c:showLegendKey val="0"/>
              <c:showVal val="1"/>
              <c:showCatName val="0"/>
              <c:showSerName val="0"/>
              <c:showPercent val="0"/>
              <c:showBubbleSize val="0"/>
            </c:dLbl>
            <c:dLbl>
              <c:idx val="6"/>
              <c:layout>
                <c:manualLayout>
                  <c:x val="1.8124215240528103E-2"/>
                  <c:y val="1.8518153980752405E-2"/>
                </c:manualLayout>
              </c:layout>
              <c:dLblPos val="t"/>
              <c:showLegendKey val="0"/>
              <c:showVal val="1"/>
              <c:showCatName val="0"/>
              <c:showSerName val="0"/>
              <c:showPercent val="0"/>
              <c:showBubbleSize val="0"/>
            </c:dLbl>
            <c:dLbl>
              <c:idx val="7"/>
              <c:layout>
                <c:manualLayout>
                  <c:x val="2.6845643889128648E-2"/>
                  <c:y val="9.7222222222222224E-2"/>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Pobresa!$B$156:$I$156</c:f>
              <c:numCache>
                <c:formatCode>General</c:formatCode>
                <c:ptCount val="8"/>
                <c:pt idx="0">
                  <c:v>2007</c:v>
                </c:pt>
                <c:pt idx="1">
                  <c:v>2008</c:v>
                </c:pt>
                <c:pt idx="2">
                  <c:v>2009</c:v>
                </c:pt>
                <c:pt idx="3">
                  <c:v>2010</c:v>
                </c:pt>
                <c:pt idx="4">
                  <c:v>2011</c:v>
                </c:pt>
                <c:pt idx="5">
                  <c:v>2012</c:v>
                </c:pt>
                <c:pt idx="6">
                  <c:v>2013</c:v>
                </c:pt>
                <c:pt idx="7">
                  <c:v>2014</c:v>
                </c:pt>
              </c:numCache>
            </c:numRef>
          </c:cat>
          <c:val>
            <c:numRef>
              <c:f>Pobresa!$B$158:$I$158</c:f>
              <c:numCache>
                <c:formatCode>0.0</c:formatCode>
                <c:ptCount val="8"/>
                <c:pt idx="0">
                  <c:v>25.9</c:v>
                </c:pt>
                <c:pt idx="1">
                  <c:v>24.4</c:v>
                </c:pt>
                <c:pt idx="2">
                  <c:v>25.7</c:v>
                </c:pt>
                <c:pt idx="3">
                  <c:v>26.8</c:v>
                </c:pt>
                <c:pt idx="4">
                  <c:v>27.4</c:v>
                </c:pt>
                <c:pt idx="5">
                  <c:v>30.6</c:v>
                </c:pt>
                <c:pt idx="6">
                  <c:v>30.9</c:v>
                </c:pt>
                <c:pt idx="7">
                  <c:v>31.6</c:v>
                </c:pt>
              </c:numCache>
            </c:numRef>
          </c:val>
          <c:smooth val="0"/>
        </c:ser>
        <c:ser>
          <c:idx val="2"/>
          <c:order val="2"/>
          <c:tx>
            <c:strRef>
              <c:f>Pobresa!$A$159</c:f>
              <c:strCache>
                <c:ptCount val="1"/>
                <c:pt idx="0">
                  <c:v>Unió Europea</c:v>
                </c:pt>
              </c:strCache>
            </c:strRef>
          </c:tx>
          <c:dLbls>
            <c:dLbl>
              <c:idx val="2"/>
              <c:layout>
                <c:manualLayout>
                  <c:x val="4.7197640117994533E-3"/>
                  <c:y val="-9.259259259259427E-3"/>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numRef>
              <c:f>Pobresa!$B$156:$I$156</c:f>
              <c:numCache>
                <c:formatCode>General</c:formatCode>
                <c:ptCount val="8"/>
                <c:pt idx="0">
                  <c:v>2007</c:v>
                </c:pt>
                <c:pt idx="1">
                  <c:v>2008</c:v>
                </c:pt>
                <c:pt idx="2">
                  <c:v>2009</c:v>
                </c:pt>
                <c:pt idx="3">
                  <c:v>2010</c:v>
                </c:pt>
                <c:pt idx="4">
                  <c:v>2011</c:v>
                </c:pt>
                <c:pt idx="5">
                  <c:v>2012</c:v>
                </c:pt>
                <c:pt idx="6">
                  <c:v>2013</c:v>
                </c:pt>
                <c:pt idx="7">
                  <c:v>2014</c:v>
                </c:pt>
              </c:numCache>
            </c:numRef>
          </c:cat>
          <c:val>
            <c:numRef>
              <c:f>Pobresa!$B$159:$I$159</c:f>
              <c:numCache>
                <c:formatCode>General</c:formatCode>
                <c:ptCount val="8"/>
                <c:pt idx="3" formatCode="0.0">
                  <c:v>22.8</c:v>
                </c:pt>
                <c:pt idx="4" formatCode="0.0">
                  <c:v>22.9</c:v>
                </c:pt>
                <c:pt idx="5" formatCode="0.0">
                  <c:v>23.1</c:v>
                </c:pt>
                <c:pt idx="6" formatCode="0.0">
                  <c:v>23.9</c:v>
                </c:pt>
              </c:numCache>
            </c:numRef>
          </c:val>
          <c:smooth val="0"/>
        </c:ser>
        <c:dLbls>
          <c:showLegendKey val="0"/>
          <c:showVal val="0"/>
          <c:showCatName val="0"/>
          <c:showSerName val="0"/>
          <c:showPercent val="0"/>
          <c:showBubbleSize val="0"/>
        </c:dLbls>
        <c:marker val="1"/>
        <c:smooth val="0"/>
        <c:axId val="77996032"/>
        <c:axId val="77997568"/>
      </c:lineChart>
      <c:catAx>
        <c:axId val="77996032"/>
        <c:scaling>
          <c:orientation val="minMax"/>
        </c:scaling>
        <c:delete val="0"/>
        <c:axPos val="b"/>
        <c:numFmt formatCode="General" sourceLinked="1"/>
        <c:majorTickMark val="out"/>
        <c:minorTickMark val="none"/>
        <c:tickLblPos val="nextTo"/>
        <c:crossAx val="77997568"/>
        <c:crosses val="autoZero"/>
        <c:auto val="1"/>
        <c:lblAlgn val="ctr"/>
        <c:lblOffset val="100"/>
        <c:noMultiLvlLbl val="0"/>
      </c:catAx>
      <c:valAx>
        <c:axId val="77997568"/>
        <c:scaling>
          <c:orientation val="minMax"/>
        </c:scaling>
        <c:delete val="1"/>
        <c:axPos val="l"/>
        <c:numFmt formatCode="0.0" sourceLinked="1"/>
        <c:majorTickMark val="out"/>
        <c:minorTickMark val="none"/>
        <c:tickLblPos val="none"/>
        <c:crossAx val="77996032"/>
        <c:crosses val="autoZero"/>
        <c:crossBetween val="between"/>
      </c:valAx>
    </c:plotArea>
    <c:legend>
      <c:legendPos val="b"/>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Pobresa!$B$129</c:f>
              <c:strCache>
                <c:ptCount val="1"/>
                <c:pt idx="0">
                  <c:v>menors de 18 anys</c:v>
                </c:pt>
              </c:strCache>
            </c:strRef>
          </c:tx>
          <c:dLbls>
            <c:dLbl>
              <c:idx val="0"/>
              <c:layout>
                <c:manualLayout>
                  <c:x val="-8.3332541178831546E-3"/>
                  <c:y val="1.7806235758991665E-2"/>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Pobresa!$A$130:$A$137</c:f>
              <c:strCache>
                <c:ptCount val="8"/>
                <c:pt idx="0">
                  <c:v>2007</c:v>
                </c:pt>
                <c:pt idx="1">
                  <c:v>2008</c:v>
                </c:pt>
                <c:pt idx="2">
                  <c:v>2009</c:v>
                </c:pt>
                <c:pt idx="3">
                  <c:v>2010</c:v>
                </c:pt>
                <c:pt idx="4">
                  <c:v>2011</c:v>
                </c:pt>
                <c:pt idx="5">
                  <c:v>2012</c:v>
                </c:pt>
                <c:pt idx="6">
                  <c:v>2013</c:v>
                </c:pt>
                <c:pt idx="7">
                  <c:v>2014</c:v>
                </c:pt>
              </c:strCache>
            </c:strRef>
          </c:cat>
          <c:val>
            <c:numRef>
              <c:f>Pobresa!$B$130:$B$137</c:f>
              <c:numCache>
                <c:formatCode>0.0</c:formatCode>
                <c:ptCount val="8"/>
                <c:pt idx="0">
                  <c:v>21.1</c:v>
                </c:pt>
                <c:pt idx="1">
                  <c:v>35.200000000000003</c:v>
                </c:pt>
                <c:pt idx="2">
                  <c:v>30.8</c:v>
                </c:pt>
                <c:pt idx="3">
                  <c:v>28.5</c:v>
                </c:pt>
                <c:pt idx="4">
                  <c:v>35</c:v>
                </c:pt>
                <c:pt idx="5">
                  <c:v>39.800000000000004</c:v>
                </c:pt>
                <c:pt idx="6">
                  <c:v>38</c:v>
                </c:pt>
                <c:pt idx="7">
                  <c:v>38.4</c:v>
                </c:pt>
              </c:numCache>
            </c:numRef>
          </c:val>
          <c:smooth val="0"/>
        </c:ser>
        <c:ser>
          <c:idx val="1"/>
          <c:order val="1"/>
          <c:tx>
            <c:strRef>
              <c:f>Pobresa!$C$129</c:f>
              <c:strCache>
                <c:ptCount val="1"/>
                <c:pt idx="0">
                  <c:v>Total</c:v>
                </c:pt>
              </c:strCache>
            </c:strRef>
          </c:tx>
          <c:dLbls>
            <c:dLbl>
              <c:idx val="0"/>
              <c:layout>
                <c:manualLayout>
                  <c:x val="-2.6827632461435581E-2"/>
                  <c:y val="-3.4088046686472288E-3"/>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Pobresa!$A$130:$A$137</c:f>
              <c:strCache>
                <c:ptCount val="8"/>
                <c:pt idx="0">
                  <c:v>2007</c:v>
                </c:pt>
                <c:pt idx="1">
                  <c:v>2008</c:v>
                </c:pt>
                <c:pt idx="2">
                  <c:v>2009</c:v>
                </c:pt>
                <c:pt idx="3">
                  <c:v>2010</c:v>
                </c:pt>
                <c:pt idx="4">
                  <c:v>2011</c:v>
                </c:pt>
                <c:pt idx="5">
                  <c:v>2012</c:v>
                </c:pt>
                <c:pt idx="6">
                  <c:v>2013</c:v>
                </c:pt>
                <c:pt idx="7">
                  <c:v>2014</c:v>
                </c:pt>
              </c:strCache>
            </c:strRef>
          </c:cat>
          <c:val>
            <c:numRef>
              <c:f>Pobresa!$C$130:$C$137</c:f>
              <c:numCache>
                <c:formatCode>0.0</c:formatCode>
                <c:ptCount val="8"/>
                <c:pt idx="0">
                  <c:v>22.3</c:v>
                </c:pt>
                <c:pt idx="1">
                  <c:v>26.7</c:v>
                </c:pt>
                <c:pt idx="2">
                  <c:v>25.1</c:v>
                </c:pt>
                <c:pt idx="3">
                  <c:v>26.4</c:v>
                </c:pt>
                <c:pt idx="4">
                  <c:v>30.5</c:v>
                </c:pt>
                <c:pt idx="5">
                  <c:v>38.200000000000003</c:v>
                </c:pt>
                <c:pt idx="6">
                  <c:v>27</c:v>
                </c:pt>
                <c:pt idx="7">
                  <c:v>37.300000000000004</c:v>
                </c:pt>
              </c:numCache>
            </c:numRef>
          </c:val>
          <c:smooth val="0"/>
        </c:ser>
        <c:dLbls>
          <c:showLegendKey val="0"/>
          <c:showVal val="0"/>
          <c:showCatName val="0"/>
          <c:showSerName val="0"/>
          <c:showPercent val="0"/>
          <c:showBubbleSize val="0"/>
        </c:dLbls>
        <c:marker val="1"/>
        <c:smooth val="0"/>
        <c:axId val="78019200"/>
        <c:axId val="78033280"/>
      </c:lineChart>
      <c:catAx>
        <c:axId val="78019200"/>
        <c:scaling>
          <c:orientation val="minMax"/>
        </c:scaling>
        <c:delete val="0"/>
        <c:axPos val="b"/>
        <c:majorTickMark val="out"/>
        <c:minorTickMark val="none"/>
        <c:tickLblPos val="nextTo"/>
        <c:crossAx val="78033280"/>
        <c:crosses val="autoZero"/>
        <c:auto val="1"/>
        <c:lblAlgn val="ctr"/>
        <c:lblOffset val="100"/>
        <c:noMultiLvlLbl val="0"/>
      </c:catAx>
      <c:valAx>
        <c:axId val="78033280"/>
        <c:scaling>
          <c:orientation val="minMax"/>
        </c:scaling>
        <c:delete val="1"/>
        <c:axPos val="l"/>
        <c:numFmt formatCode="0.0" sourceLinked="1"/>
        <c:majorTickMark val="out"/>
        <c:minorTickMark val="none"/>
        <c:tickLblPos val="none"/>
        <c:crossAx val="7801920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txPr>
              <a:bodyPr/>
              <a:lstStyle/>
              <a:p>
                <a:pPr>
                  <a:defRPr lang="ca-ES"/>
                </a:pPr>
                <a:endParaRPr lang="ca-ES"/>
              </a:p>
            </c:txPr>
            <c:dLblPos val="b"/>
            <c:showLegendKey val="0"/>
            <c:showVal val="1"/>
            <c:showCatName val="0"/>
            <c:showSerName val="0"/>
            <c:showPercent val="0"/>
            <c:showBubbleSize val="0"/>
            <c:showLeaderLines val="0"/>
          </c:dLbls>
          <c:cat>
            <c:strRef>
              <c:f>Prestacions!$F$79:$F$86</c:f>
              <c:strCache>
                <c:ptCount val="8"/>
                <c:pt idx="0">
                  <c:v>2007</c:v>
                </c:pt>
                <c:pt idx="1">
                  <c:v>2008</c:v>
                </c:pt>
                <c:pt idx="2">
                  <c:v>2009</c:v>
                </c:pt>
                <c:pt idx="3">
                  <c:v>2010</c:v>
                </c:pt>
                <c:pt idx="4">
                  <c:v>2011</c:v>
                </c:pt>
                <c:pt idx="5">
                  <c:v>2012</c:v>
                </c:pt>
                <c:pt idx="6">
                  <c:v>2013</c:v>
                </c:pt>
                <c:pt idx="7">
                  <c:v>2014</c:v>
                </c:pt>
              </c:strCache>
            </c:strRef>
          </c:cat>
          <c:val>
            <c:numRef>
              <c:f>Prestacions!$G$79:$G$86</c:f>
              <c:numCache>
                <c:formatCode>0.0</c:formatCode>
                <c:ptCount val="8"/>
                <c:pt idx="0">
                  <c:v>27.2</c:v>
                </c:pt>
                <c:pt idx="1">
                  <c:v>37.6</c:v>
                </c:pt>
                <c:pt idx="2">
                  <c:v>42.1</c:v>
                </c:pt>
                <c:pt idx="3">
                  <c:v>39.5</c:v>
                </c:pt>
                <c:pt idx="4">
                  <c:v>34.800000000000004</c:v>
                </c:pt>
                <c:pt idx="5">
                  <c:v>33.800000000000004</c:v>
                </c:pt>
                <c:pt idx="6">
                  <c:v>33.5</c:v>
                </c:pt>
                <c:pt idx="7">
                  <c:v>30.9</c:v>
                </c:pt>
              </c:numCache>
            </c:numRef>
          </c:val>
          <c:smooth val="0"/>
        </c:ser>
        <c:dLbls>
          <c:showLegendKey val="0"/>
          <c:showVal val="0"/>
          <c:showCatName val="0"/>
          <c:showSerName val="0"/>
          <c:showPercent val="0"/>
          <c:showBubbleSize val="0"/>
        </c:dLbls>
        <c:marker val="1"/>
        <c:smooth val="0"/>
        <c:axId val="36391936"/>
        <c:axId val="36393728"/>
      </c:lineChart>
      <c:catAx>
        <c:axId val="36391936"/>
        <c:scaling>
          <c:orientation val="minMax"/>
        </c:scaling>
        <c:delete val="0"/>
        <c:axPos val="b"/>
        <c:majorTickMark val="out"/>
        <c:minorTickMark val="none"/>
        <c:tickLblPos val="nextTo"/>
        <c:txPr>
          <a:bodyPr/>
          <a:lstStyle/>
          <a:p>
            <a:pPr>
              <a:defRPr lang="ca-ES"/>
            </a:pPr>
            <a:endParaRPr lang="ca-ES"/>
          </a:p>
        </c:txPr>
        <c:crossAx val="36393728"/>
        <c:crosses val="autoZero"/>
        <c:auto val="1"/>
        <c:lblAlgn val="ctr"/>
        <c:lblOffset val="100"/>
        <c:noMultiLvlLbl val="0"/>
      </c:catAx>
      <c:valAx>
        <c:axId val="36393728"/>
        <c:scaling>
          <c:orientation val="minMax"/>
        </c:scaling>
        <c:delete val="1"/>
        <c:axPos val="l"/>
        <c:numFmt formatCode="0.0" sourceLinked="1"/>
        <c:majorTickMark val="out"/>
        <c:minorTickMark val="none"/>
        <c:tickLblPos val="none"/>
        <c:crossAx val="36391936"/>
        <c:crosses val="autoZero"/>
        <c:crossBetween val="between"/>
      </c:valAx>
    </c:plotArea>
    <c:plotVisOnly val="1"/>
    <c:dispBlanksAs val="gap"/>
    <c:showDLblsOverMax val="0"/>
  </c:chart>
  <c:txPr>
    <a:bodyPr/>
    <a:lstStyle/>
    <a:p>
      <a:pPr>
        <a:defRPr sz="900"/>
      </a:pPr>
      <a:endParaRPr lang="ca-E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barChart>
        <c:barDir val="col"/>
        <c:grouping val="clustered"/>
        <c:varyColors val="0"/>
        <c:ser>
          <c:idx val="0"/>
          <c:order val="0"/>
          <c:tx>
            <c:strRef>
              <c:f>Pobresa!$K$168</c:f>
              <c:strCache>
                <c:ptCount val="1"/>
                <c:pt idx="0">
                  <c:v>Homes</c:v>
                </c:pt>
              </c:strCache>
            </c:strRef>
          </c:tx>
          <c:invertIfNegative val="0"/>
          <c:dLbls>
            <c:dLbl>
              <c:idx val="1"/>
              <c:layout>
                <c:manualLayout>
                  <c:x val="0"/>
                  <c:y val="1.85185185185185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Pobresa!$J$169:$J$170</c:f>
              <c:strCache>
                <c:ptCount val="2"/>
                <c:pt idx="0">
                  <c:v>Catalunya</c:v>
                </c:pt>
                <c:pt idx="1">
                  <c:v>Espanya</c:v>
                </c:pt>
              </c:strCache>
            </c:strRef>
          </c:cat>
          <c:val>
            <c:numRef>
              <c:f>Pobresa!$K$169:$K$170</c:f>
              <c:numCache>
                <c:formatCode>0.0%</c:formatCode>
                <c:ptCount val="2"/>
                <c:pt idx="0">
                  <c:v>0.38400000000000317</c:v>
                </c:pt>
                <c:pt idx="1">
                  <c:v>0.317000000000003</c:v>
                </c:pt>
              </c:numCache>
            </c:numRef>
          </c:val>
        </c:ser>
        <c:ser>
          <c:idx val="1"/>
          <c:order val="1"/>
          <c:tx>
            <c:strRef>
              <c:f>Pobresa!$L$168</c:f>
              <c:strCache>
                <c:ptCount val="1"/>
                <c:pt idx="0">
                  <c:v>Dones</c:v>
                </c:pt>
              </c:strCache>
            </c:strRef>
          </c:tx>
          <c:invertIfNegative val="0"/>
          <c:dLbls>
            <c:dLbl>
              <c:idx val="0"/>
              <c:layout>
                <c:manualLayout>
                  <c:x val="0"/>
                  <c:y val="2.3148148148148147E-2"/>
                </c:manualLayout>
              </c:layout>
              <c:showLegendKey val="0"/>
              <c:showVal val="1"/>
              <c:showCatName val="0"/>
              <c:showSerName val="0"/>
              <c:showPercent val="0"/>
              <c:showBubbleSize val="0"/>
            </c:dLbl>
            <c:dLbl>
              <c:idx val="1"/>
              <c:layout>
                <c:manualLayout>
                  <c:x val="1.0059325952015905E-16"/>
                  <c:y val="2.777777777777793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Pobresa!$J$169:$J$170</c:f>
              <c:strCache>
                <c:ptCount val="2"/>
                <c:pt idx="0">
                  <c:v>Catalunya</c:v>
                </c:pt>
                <c:pt idx="1">
                  <c:v>Espanya</c:v>
                </c:pt>
              </c:strCache>
            </c:strRef>
          </c:cat>
          <c:val>
            <c:numRef>
              <c:f>Pobresa!$L$169:$L$170</c:f>
              <c:numCache>
                <c:formatCode>0.0%</c:formatCode>
                <c:ptCount val="2"/>
                <c:pt idx="0">
                  <c:v>0.37200000000000188</c:v>
                </c:pt>
                <c:pt idx="1">
                  <c:v>0.31400000000000283</c:v>
                </c:pt>
              </c:numCache>
            </c:numRef>
          </c:val>
        </c:ser>
        <c:dLbls>
          <c:showLegendKey val="0"/>
          <c:showVal val="1"/>
          <c:showCatName val="0"/>
          <c:showSerName val="0"/>
          <c:showPercent val="0"/>
          <c:showBubbleSize val="0"/>
        </c:dLbls>
        <c:gapWidth val="150"/>
        <c:axId val="78190080"/>
        <c:axId val="78191616"/>
      </c:barChart>
      <c:catAx>
        <c:axId val="78190080"/>
        <c:scaling>
          <c:orientation val="minMax"/>
        </c:scaling>
        <c:delete val="0"/>
        <c:axPos val="b"/>
        <c:majorTickMark val="out"/>
        <c:minorTickMark val="none"/>
        <c:tickLblPos val="nextTo"/>
        <c:crossAx val="78191616"/>
        <c:crosses val="autoZero"/>
        <c:auto val="1"/>
        <c:lblAlgn val="ctr"/>
        <c:lblOffset val="100"/>
        <c:noMultiLvlLbl val="0"/>
      </c:catAx>
      <c:valAx>
        <c:axId val="78191616"/>
        <c:scaling>
          <c:orientation val="minMax"/>
        </c:scaling>
        <c:delete val="0"/>
        <c:axPos val="l"/>
        <c:majorGridlines/>
        <c:numFmt formatCode="0.0%" sourceLinked="1"/>
        <c:majorTickMark val="out"/>
        <c:minorTickMark val="none"/>
        <c:tickLblPos val="nextTo"/>
        <c:crossAx val="78190080"/>
        <c:crosses val="autoZero"/>
        <c:crossBetween val="between"/>
      </c:valAx>
    </c:plotArea>
    <c:legend>
      <c:legendPos val="b"/>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'Salarització i Bretxa'!$I$48</c:f>
              <c:strCache>
                <c:ptCount val="1"/>
                <c:pt idx="0">
                  <c:v>Homes </c:v>
                </c:pt>
              </c:strCache>
            </c:strRef>
          </c:tx>
          <c:dLbls>
            <c:dLblPos val="b"/>
            <c:showLegendKey val="0"/>
            <c:showVal val="1"/>
            <c:showCatName val="0"/>
            <c:showSerName val="0"/>
            <c:showPercent val="0"/>
            <c:showBubbleSize val="0"/>
            <c:showLeaderLines val="0"/>
          </c:dLbls>
          <c:cat>
            <c:strRef>
              <c:f>'Salarització i Bretxa'!$G$49:$G$56</c:f>
              <c:strCache>
                <c:ptCount val="8"/>
                <c:pt idx="0">
                  <c:v>     2007</c:v>
                </c:pt>
                <c:pt idx="1">
                  <c:v>     2008</c:v>
                </c:pt>
                <c:pt idx="2">
                  <c:v>     2009</c:v>
                </c:pt>
                <c:pt idx="3">
                  <c:v>     2010</c:v>
                </c:pt>
                <c:pt idx="4">
                  <c:v>     2011</c:v>
                </c:pt>
                <c:pt idx="5">
                  <c:v>     2012</c:v>
                </c:pt>
                <c:pt idx="6">
                  <c:v>     2013</c:v>
                </c:pt>
                <c:pt idx="7">
                  <c:v>     2014</c:v>
                </c:pt>
              </c:strCache>
            </c:strRef>
          </c:cat>
          <c:val>
            <c:numRef>
              <c:f>'Salarització i Bretxa'!$I$49:$I$56</c:f>
              <c:numCache>
                <c:formatCode>0.0</c:formatCode>
                <c:ptCount val="8"/>
                <c:pt idx="0">
                  <c:v>80.077095735337167</c:v>
                </c:pt>
                <c:pt idx="1">
                  <c:v>79.708921120604018</c:v>
                </c:pt>
                <c:pt idx="2">
                  <c:v>80.126322787966089</c:v>
                </c:pt>
                <c:pt idx="3">
                  <c:v>80.183340878223603</c:v>
                </c:pt>
                <c:pt idx="4">
                  <c:v>80.464496698714427</c:v>
                </c:pt>
                <c:pt idx="5">
                  <c:v>79.669308892740247</c:v>
                </c:pt>
                <c:pt idx="6">
                  <c:v>79.249729316604018</c:v>
                </c:pt>
                <c:pt idx="7">
                  <c:v>78.573668694724958</c:v>
                </c:pt>
              </c:numCache>
            </c:numRef>
          </c:val>
          <c:smooth val="0"/>
        </c:ser>
        <c:ser>
          <c:idx val="1"/>
          <c:order val="1"/>
          <c:tx>
            <c:strRef>
              <c:f>'Salarització i Bretxa'!$J$48</c:f>
              <c:strCache>
                <c:ptCount val="1"/>
                <c:pt idx="0">
                  <c:v>Dones</c:v>
                </c:pt>
              </c:strCache>
            </c:strRef>
          </c:tx>
          <c:dLbls>
            <c:dLblPos val="b"/>
            <c:showLegendKey val="0"/>
            <c:showVal val="1"/>
            <c:showCatName val="0"/>
            <c:showSerName val="0"/>
            <c:showPercent val="0"/>
            <c:showBubbleSize val="0"/>
            <c:showLeaderLines val="0"/>
          </c:dLbls>
          <c:cat>
            <c:strRef>
              <c:f>'Salarització i Bretxa'!$G$49:$G$56</c:f>
              <c:strCache>
                <c:ptCount val="8"/>
                <c:pt idx="0">
                  <c:v>     2007</c:v>
                </c:pt>
                <c:pt idx="1">
                  <c:v>     2008</c:v>
                </c:pt>
                <c:pt idx="2">
                  <c:v>     2009</c:v>
                </c:pt>
                <c:pt idx="3">
                  <c:v>     2010</c:v>
                </c:pt>
                <c:pt idx="4">
                  <c:v>     2011</c:v>
                </c:pt>
                <c:pt idx="5">
                  <c:v>     2012</c:v>
                </c:pt>
                <c:pt idx="6">
                  <c:v>     2013</c:v>
                </c:pt>
                <c:pt idx="7">
                  <c:v>     2014</c:v>
                </c:pt>
              </c:strCache>
            </c:strRef>
          </c:cat>
          <c:val>
            <c:numRef>
              <c:f>'Salarització i Bretxa'!$J$49:$J$56</c:f>
              <c:numCache>
                <c:formatCode>0.0</c:formatCode>
                <c:ptCount val="8"/>
                <c:pt idx="0">
                  <c:v>88.672079622837785</c:v>
                </c:pt>
                <c:pt idx="1">
                  <c:v>88.246923027869315</c:v>
                </c:pt>
                <c:pt idx="2">
                  <c:v>88.178268479870738</c:v>
                </c:pt>
                <c:pt idx="3">
                  <c:v>88.791416424859975</c:v>
                </c:pt>
                <c:pt idx="4">
                  <c:v>88.920416159978373</c:v>
                </c:pt>
                <c:pt idx="5">
                  <c:v>88.523433088650478</c:v>
                </c:pt>
                <c:pt idx="6">
                  <c:v>87.666142632555108</c:v>
                </c:pt>
                <c:pt idx="7">
                  <c:v>87.595712098009159</c:v>
                </c:pt>
              </c:numCache>
            </c:numRef>
          </c:val>
          <c:smooth val="0"/>
        </c:ser>
        <c:dLbls>
          <c:showLegendKey val="0"/>
          <c:showVal val="1"/>
          <c:showCatName val="0"/>
          <c:showSerName val="0"/>
          <c:showPercent val="0"/>
          <c:showBubbleSize val="0"/>
        </c:dLbls>
        <c:marker val="1"/>
        <c:smooth val="0"/>
        <c:axId val="78238464"/>
        <c:axId val="78240000"/>
      </c:lineChart>
      <c:catAx>
        <c:axId val="78238464"/>
        <c:scaling>
          <c:orientation val="minMax"/>
        </c:scaling>
        <c:delete val="0"/>
        <c:axPos val="b"/>
        <c:majorTickMark val="none"/>
        <c:minorTickMark val="none"/>
        <c:tickLblPos val="nextTo"/>
        <c:crossAx val="78240000"/>
        <c:crosses val="autoZero"/>
        <c:auto val="1"/>
        <c:lblAlgn val="ctr"/>
        <c:lblOffset val="100"/>
        <c:noMultiLvlLbl val="0"/>
      </c:catAx>
      <c:valAx>
        <c:axId val="78240000"/>
        <c:scaling>
          <c:orientation val="minMax"/>
        </c:scaling>
        <c:delete val="0"/>
        <c:axPos val="l"/>
        <c:numFmt formatCode="0.0" sourceLinked="1"/>
        <c:majorTickMark val="none"/>
        <c:minorTickMark val="none"/>
        <c:tickLblPos val="nextTo"/>
        <c:crossAx val="78238464"/>
        <c:crosses val="autoZero"/>
        <c:crossBetween val="between"/>
      </c:valAx>
    </c:plotArea>
    <c:legend>
      <c:legendPos val="b"/>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'Salarització i Bretxa'!$G$98</c:f>
              <c:strCache>
                <c:ptCount val="1"/>
                <c:pt idx="0">
                  <c:v>16 a 24 anys</c:v>
                </c:pt>
              </c:strCache>
            </c:strRef>
          </c:tx>
          <c:cat>
            <c:strRef>
              <c:f>'Salarització i Bretxa'!$F$99:$F$106</c:f>
              <c:strCache>
                <c:ptCount val="8"/>
                <c:pt idx="0">
                  <c:v>2007</c:v>
                </c:pt>
                <c:pt idx="1">
                  <c:v>2008</c:v>
                </c:pt>
                <c:pt idx="2">
                  <c:v>2009</c:v>
                </c:pt>
                <c:pt idx="3">
                  <c:v>2010</c:v>
                </c:pt>
                <c:pt idx="4">
                  <c:v>2011</c:v>
                </c:pt>
                <c:pt idx="5">
                  <c:v>2012</c:v>
                </c:pt>
                <c:pt idx="6">
                  <c:v>2013</c:v>
                </c:pt>
                <c:pt idx="7">
                  <c:v>2014</c:v>
                </c:pt>
              </c:strCache>
            </c:strRef>
          </c:cat>
          <c:val>
            <c:numRef>
              <c:f>'Salarització i Bretxa'!$G$99:$G$106</c:f>
              <c:numCache>
                <c:formatCode>#,##0.0</c:formatCode>
                <c:ptCount val="8"/>
                <c:pt idx="0">
                  <c:v>93.631123919309616</c:v>
                </c:pt>
                <c:pt idx="1">
                  <c:v>94.723538704579724</c:v>
                </c:pt>
                <c:pt idx="2">
                  <c:v>94.586530264279617</c:v>
                </c:pt>
                <c:pt idx="3">
                  <c:v>95.784543325526911</c:v>
                </c:pt>
                <c:pt idx="4">
                  <c:v>95.217853347502697</c:v>
                </c:pt>
                <c:pt idx="5">
                  <c:v>93.178893178891386</c:v>
                </c:pt>
                <c:pt idx="6">
                  <c:v>91.73770491803279</c:v>
                </c:pt>
                <c:pt idx="7">
                  <c:v>93.151595744680819</c:v>
                </c:pt>
              </c:numCache>
            </c:numRef>
          </c:val>
          <c:smooth val="0"/>
        </c:ser>
        <c:ser>
          <c:idx val="1"/>
          <c:order val="1"/>
          <c:tx>
            <c:strRef>
              <c:f>'Salarització i Bretxa'!$H$98</c:f>
              <c:strCache>
                <c:ptCount val="1"/>
                <c:pt idx="0">
                  <c:v>25 a 54 anys</c:v>
                </c:pt>
              </c:strCache>
            </c:strRef>
          </c:tx>
          <c:cat>
            <c:strRef>
              <c:f>'Salarització i Bretxa'!$F$99:$F$106</c:f>
              <c:strCache>
                <c:ptCount val="8"/>
                <c:pt idx="0">
                  <c:v>2007</c:v>
                </c:pt>
                <c:pt idx="1">
                  <c:v>2008</c:v>
                </c:pt>
                <c:pt idx="2">
                  <c:v>2009</c:v>
                </c:pt>
                <c:pt idx="3">
                  <c:v>2010</c:v>
                </c:pt>
                <c:pt idx="4">
                  <c:v>2011</c:v>
                </c:pt>
                <c:pt idx="5">
                  <c:v>2012</c:v>
                </c:pt>
                <c:pt idx="6">
                  <c:v>2013</c:v>
                </c:pt>
                <c:pt idx="7">
                  <c:v>2014</c:v>
                </c:pt>
              </c:strCache>
            </c:strRef>
          </c:cat>
          <c:val>
            <c:numRef>
              <c:f>'Salarització i Bretxa'!$H$99:$H$106</c:f>
              <c:numCache>
                <c:formatCode>#,##0.0</c:formatCode>
                <c:ptCount val="8"/>
                <c:pt idx="0">
                  <c:v>84.793694946685207</c:v>
                </c:pt>
                <c:pt idx="1">
                  <c:v>84.467366174639878</c:v>
                </c:pt>
                <c:pt idx="2">
                  <c:v>84.890141274132773</c:v>
                </c:pt>
                <c:pt idx="3">
                  <c:v>85.454615178126303</c:v>
                </c:pt>
                <c:pt idx="4">
                  <c:v>86.061123177164163</c:v>
                </c:pt>
                <c:pt idx="5">
                  <c:v>85.519528371407532</c:v>
                </c:pt>
                <c:pt idx="6">
                  <c:v>84.864457831325282</c:v>
                </c:pt>
                <c:pt idx="7">
                  <c:v>84.221311475409749</c:v>
                </c:pt>
              </c:numCache>
            </c:numRef>
          </c:val>
          <c:smooth val="0"/>
        </c:ser>
        <c:ser>
          <c:idx val="2"/>
          <c:order val="2"/>
          <c:tx>
            <c:strRef>
              <c:f>'Salarització i Bretxa'!$I$98</c:f>
              <c:strCache>
                <c:ptCount val="1"/>
                <c:pt idx="0">
                  <c:v>55 i més anys</c:v>
                </c:pt>
              </c:strCache>
            </c:strRef>
          </c:tx>
          <c:cat>
            <c:strRef>
              <c:f>'Salarització i Bretxa'!$F$99:$F$106</c:f>
              <c:strCache>
                <c:ptCount val="8"/>
                <c:pt idx="0">
                  <c:v>2007</c:v>
                </c:pt>
                <c:pt idx="1">
                  <c:v>2008</c:v>
                </c:pt>
                <c:pt idx="2">
                  <c:v>2009</c:v>
                </c:pt>
                <c:pt idx="3">
                  <c:v>2010</c:v>
                </c:pt>
                <c:pt idx="4">
                  <c:v>2011</c:v>
                </c:pt>
                <c:pt idx="5">
                  <c:v>2012</c:v>
                </c:pt>
                <c:pt idx="6">
                  <c:v>2013</c:v>
                </c:pt>
                <c:pt idx="7">
                  <c:v>2014</c:v>
                </c:pt>
              </c:strCache>
            </c:strRef>
          </c:cat>
          <c:val>
            <c:numRef>
              <c:f>'Salarització i Bretxa'!$I$99:$I$106</c:f>
              <c:numCache>
                <c:formatCode>#,##0.0</c:formatCode>
                <c:ptCount val="8"/>
                <c:pt idx="0">
                  <c:v>68.726503759398497</c:v>
                </c:pt>
                <c:pt idx="1">
                  <c:v>69.225678358701273</c:v>
                </c:pt>
                <c:pt idx="2">
                  <c:v>70.926443202979499</c:v>
                </c:pt>
                <c:pt idx="3">
                  <c:v>70.070093457943912</c:v>
                </c:pt>
                <c:pt idx="4">
                  <c:v>69.802317655078383</c:v>
                </c:pt>
                <c:pt idx="5">
                  <c:v>70.763200368919527</c:v>
                </c:pt>
                <c:pt idx="6">
                  <c:v>70.909517112048718</c:v>
                </c:pt>
                <c:pt idx="7">
                  <c:v>71.759364358683158</c:v>
                </c:pt>
              </c:numCache>
            </c:numRef>
          </c:val>
          <c:smooth val="0"/>
        </c:ser>
        <c:dLbls>
          <c:showLegendKey val="0"/>
          <c:showVal val="0"/>
          <c:showCatName val="0"/>
          <c:showSerName val="0"/>
          <c:showPercent val="0"/>
          <c:showBubbleSize val="0"/>
        </c:dLbls>
        <c:marker val="1"/>
        <c:smooth val="0"/>
        <c:axId val="33697152"/>
        <c:axId val="33711232"/>
      </c:lineChart>
      <c:catAx>
        <c:axId val="33697152"/>
        <c:scaling>
          <c:orientation val="minMax"/>
        </c:scaling>
        <c:delete val="0"/>
        <c:axPos val="b"/>
        <c:majorTickMark val="none"/>
        <c:minorTickMark val="none"/>
        <c:tickLblPos val="nextTo"/>
        <c:crossAx val="33711232"/>
        <c:crosses val="autoZero"/>
        <c:auto val="1"/>
        <c:lblAlgn val="ctr"/>
        <c:lblOffset val="100"/>
        <c:noMultiLvlLbl val="0"/>
      </c:catAx>
      <c:valAx>
        <c:axId val="33711232"/>
        <c:scaling>
          <c:orientation val="minMax"/>
        </c:scaling>
        <c:delete val="0"/>
        <c:axPos val="l"/>
        <c:majorGridlines/>
        <c:numFmt formatCode="#,##0.0" sourceLinked="1"/>
        <c:majorTickMark val="none"/>
        <c:minorTickMark val="none"/>
        <c:tickLblPos val="nextTo"/>
        <c:crossAx val="336971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'Salarització i Bretxa'!$B$3</c:f>
              <c:strCache>
                <c:ptCount val="1"/>
                <c:pt idx="0">
                  <c:v>Catalunya</c:v>
                </c:pt>
              </c:strCache>
            </c:strRef>
          </c:tx>
          <c:cat>
            <c:strRef>
              <c:f>'Salarització i Bretxa'!$A$5:$A$10</c:f>
              <c:strCache>
                <c:ptCount val="6"/>
                <c:pt idx="0">
                  <c:v>2007</c:v>
                </c:pt>
                <c:pt idx="1">
                  <c:v>2008</c:v>
                </c:pt>
                <c:pt idx="2">
                  <c:v>2009</c:v>
                </c:pt>
                <c:pt idx="3">
                  <c:v>2010</c:v>
                </c:pt>
                <c:pt idx="4">
                  <c:v>2011</c:v>
                </c:pt>
                <c:pt idx="5">
                  <c:v>2012</c:v>
                </c:pt>
              </c:strCache>
            </c:strRef>
          </c:cat>
          <c:val>
            <c:numRef>
              <c:f>'Salarització i Bretxa'!$B$5:$B$10</c:f>
              <c:numCache>
                <c:formatCode>General</c:formatCode>
                <c:ptCount val="6"/>
                <c:pt idx="0">
                  <c:v>17.100000000000001</c:v>
                </c:pt>
                <c:pt idx="1">
                  <c:v>19.8</c:v>
                </c:pt>
                <c:pt idx="2">
                  <c:v>18.5</c:v>
                </c:pt>
                <c:pt idx="3">
                  <c:v>16.899999999999999</c:v>
                </c:pt>
                <c:pt idx="4">
                  <c:v>19.8</c:v>
                </c:pt>
                <c:pt idx="5">
                  <c:v>20.2</c:v>
                </c:pt>
              </c:numCache>
            </c:numRef>
          </c:val>
          <c:smooth val="0"/>
        </c:ser>
        <c:ser>
          <c:idx val="1"/>
          <c:order val="1"/>
          <c:tx>
            <c:strRef>
              <c:f>'Salarització i Bretxa'!$C$3</c:f>
              <c:strCache>
                <c:ptCount val="1"/>
                <c:pt idx="0">
                  <c:v>Espanya</c:v>
                </c:pt>
              </c:strCache>
            </c:strRef>
          </c:tx>
          <c:cat>
            <c:strRef>
              <c:f>'Salarització i Bretxa'!$A$5:$A$10</c:f>
              <c:strCache>
                <c:ptCount val="6"/>
                <c:pt idx="0">
                  <c:v>2007</c:v>
                </c:pt>
                <c:pt idx="1">
                  <c:v>2008</c:v>
                </c:pt>
                <c:pt idx="2">
                  <c:v>2009</c:v>
                </c:pt>
                <c:pt idx="3">
                  <c:v>2010</c:v>
                </c:pt>
                <c:pt idx="4">
                  <c:v>2011</c:v>
                </c:pt>
                <c:pt idx="5">
                  <c:v>2012</c:v>
                </c:pt>
              </c:strCache>
            </c:strRef>
          </c:cat>
          <c:val>
            <c:numRef>
              <c:f>'Salarització i Bretxa'!$C$5:$C$10</c:f>
              <c:numCache>
                <c:formatCode>General</c:formatCode>
                <c:ptCount val="6"/>
                <c:pt idx="0">
                  <c:v>18.100000000000001</c:v>
                </c:pt>
                <c:pt idx="1">
                  <c:v>16.100000000000001</c:v>
                </c:pt>
                <c:pt idx="2">
                  <c:v>16.7</c:v>
                </c:pt>
                <c:pt idx="3">
                  <c:v>16.2</c:v>
                </c:pt>
                <c:pt idx="4">
                  <c:v>17.8</c:v>
                </c:pt>
                <c:pt idx="5">
                  <c:v>19.3</c:v>
                </c:pt>
              </c:numCache>
            </c:numRef>
          </c:val>
          <c:smooth val="0"/>
        </c:ser>
        <c:ser>
          <c:idx val="2"/>
          <c:order val="2"/>
          <c:tx>
            <c:strRef>
              <c:f>'Salarització i Bretxa'!$D$3</c:f>
              <c:strCache>
                <c:ptCount val="1"/>
                <c:pt idx="0">
                  <c:v>UE-28</c:v>
                </c:pt>
              </c:strCache>
            </c:strRef>
          </c:tx>
          <c:cat>
            <c:strRef>
              <c:f>'Salarització i Bretxa'!$A$5:$A$10</c:f>
              <c:strCache>
                <c:ptCount val="6"/>
                <c:pt idx="0">
                  <c:v>2007</c:v>
                </c:pt>
                <c:pt idx="1">
                  <c:v>2008</c:v>
                </c:pt>
                <c:pt idx="2">
                  <c:v>2009</c:v>
                </c:pt>
                <c:pt idx="3">
                  <c:v>2010</c:v>
                </c:pt>
                <c:pt idx="4">
                  <c:v>2011</c:v>
                </c:pt>
                <c:pt idx="5">
                  <c:v>2012</c:v>
                </c:pt>
              </c:strCache>
            </c:strRef>
          </c:cat>
          <c:val>
            <c:numRef>
              <c:f>'Salarització i Bretxa'!$D$5:$D$10</c:f>
              <c:numCache>
                <c:formatCode>General</c:formatCode>
                <c:ptCount val="6"/>
                <c:pt idx="3">
                  <c:v>16.100000000000001</c:v>
                </c:pt>
                <c:pt idx="4">
                  <c:v>16.5</c:v>
                </c:pt>
                <c:pt idx="5">
                  <c:v>16.5</c:v>
                </c:pt>
              </c:numCache>
            </c:numRef>
          </c:val>
          <c:smooth val="0"/>
        </c:ser>
        <c:dLbls>
          <c:showLegendKey val="0"/>
          <c:showVal val="0"/>
          <c:showCatName val="0"/>
          <c:showSerName val="0"/>
          <c:showPercent val="0"/>
          <c:showBubbleSize val="0"/>
        </c:dLbls>
        <c:marker val="1"/>
        <c:smooth val="0"/>
        <c:axId val="33738112"/>
        <c:axId val="33739904"/>
      </c:lineChart>
      <c:catAx>
        <c:axId val="33738112"/>
        <c:scaling>
          <c:orientation val="minMax"/>
        </c:scaling>
        <c:delete val="0"/>
        <c:axPos val="b"/>
        <c:majorTickMark val="none"/>
        <c:minorTickMark val="none"/>
        <c:tickLblPos val="nextTo"/>
        <c:crossAx val="33739904"/>
        <c:crosses val="autoZero"/>
        <c:auto val="1"/>
        <c:lblAlgn val="ctr"/>
        <c:lblOffset val="100"/>
        <c:noMultiLvlLbl val="0"/>
      </c:catAx>
      <c:valAx>
        <c:axId val="33739904"/>
        <c:scaling>
          <c:orientation val="minMax"/>
        </c:scaling>
        <c:delete val="0"/>
        <c:axPos val="l"/>
        <c:majorGridlines/>
        <c:numFmt formatCode="General" sourceLinked="1"/>
        <c:majorTickMark val="none"/>
        <c:minorTickMark val="none"/>
        <c:tickLblPos val="nextTo"/>
        <c:crossAx val="337381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Activitat!$B$46</c:f>
              <c:strCache>
                <c:ptCount val="1"/>
                <c:pt idx="0">
                  <c:v>Catalunya </c:v>
                </c:pt>
              </c:strCache>
            </c:strRef>
          </c:tx>
          <c:dLbls>
            <c:dLblPos val="t"/>
            <c:showLegendKey val="0"/>
            <c:showVal val="1"/>
            <c:showCatName val="0"/>
            <c:showSerName val="0"/>
            <c:showPercent val="0"/>
            <c:showBubbleSize val="0"/>
            <c:showLeaderLines val="0"/>
          </c:dLbls>
          <c:cat>
            <c:strRef>
              <c:f>Activitat!$A$47:$A$54</c:f>
              <c:strCache>
                <c:ptCount val="8"/>
                <c:pt idx="0">
                  <c:v>     2007</c:v>
                </c:pt>
                <c:pt idx="1">
                  <c:v>     2008</c:v>
                </c:pt>
                <c:pt idx="2">
                  <c:v>     2009</c:v>
                </c:pt>
                <c:pt idx="3">
                  <c:v>     2010</c:v>
                </c:pt>
                <c:pt idx="4">
                  <c:v>     2011</c:v>
                </c:pt>
                <c:pt idx="5">
                  <c:v>     2012</c:v>
                </c:pt>
                <c:pt idx="6">
                  <c:v>     2013</c:v>
                </c:pt>
                <c:pt idx="7">
                  <c:v>     2014</c:v>
                </c:pt>
              </c:strCache>
            </c:strRef>
          </c:cat>
          <c:val>
            <c:numRef>
              <c:f>Activitat!$B$47:$B$54</c:f>
              <c:numCache>
                <c:formatCode>0.0</c:formatCode>
                <c:ptCount val="8"/>
                <c:pt idx="0">
                  <c:v>77.47</c:v>
                </c:pt>
                <c:pt idx="1">
                  <c:v>78.31</c:v>
                </c:pt>
                <c:pt idx="2">
                  <c:v>77.89</c:v>
                </c:pt>
                <c:pt idx="3">
                  <c:v>78.39</c:v>
                </c:pt>
                <c:pt idx="4">
                  <c:v>79.14</c:v>
                </c:pt>
                <c:pt idx="5">
                  <c:v>78.73</c:v>
                </c:pt>
                <c:pt idx="6">
                  <c:v>79.06</c:v>
                </c:pt>
                <c:pt idx="7">
                  <c:v>79</c:v>
                </c:pt>
              </c:numCache>
            </c:numRef>
          </c:val>
          <c:smooth val="0"/>
        </c:ser>
        <c:ser>
          <c:idx val="1"/>
          <c:order val="1"/>
          <c:tx>
            <c:strRef>
              <c:f>Activitat!$C$46</c:f>
              <c:strCache>
                <c:ptCount val="1"/>
                <c:pt idx="0">
                  <c:v>Espanya </c:v>
                </c:pt>
              </c:strCache>
            </c:strRef>
          </c:tx>
          <c:dLbls>
            <c:dLblPos val="t"/>
            <c:showLegendKey val="0"/>
            <c:showVal val="1"/>
            <c:showCatName val="0"/>
            <c:showSerName val="0"/>
            <c:showPercent val="0"/>
            <c:showBubbleSize val="0"/>
            <c:showLeaderLines val="0"/>
          </c:dLbls>
          <c:cat>
            <c:strRef>
              <c:f>Activitat!$A$47:$A$54</c:f>
              <c:strCache>
                <c:ptCount val="8"/>
                <c:pt idx="0">
                  <c:v>     2007</c:v>
                </c:pt>
                <c:pt idx="1">
                  <c:v>     2008</c:v>
                </c:pt>
                <c:pt idx="2">
                  <c:v>     2009</c:v>
                </c:pt>
                <c:pt idx="3">
                  <c:v>     2010</c:v>
                </c:pt>
                <c:pt idx="4">
                  <c:v>     2011</c:v>
                </c:pt>
                <c:pt idx="5">
                  <c:v>     2012</c:v>
                </c:pt>
                <c:pt idx="6">
                  <c:v>     2013</c:v>
                </c:pt>
                <c:pt idx="7">
                  <c:v>     2014</c:v>
                </c:pt>
              </c:strCache>
            </c:strRef>
          </c:cat>
          <c:val>
            <c:numRef>
              <c:f>Activitat!$C$47:$C$54</c:f>
              <c:numCache>
                <c:formatCode>0.0</c:formatCode>
                <c:ptCount val="8"/>
                <c:pt idx="0">
                  <c:v>72.81</c:v>
                </c:pt>
                <c:pt idx="1">
                  <c:v>73.790000000000006</c:v>
                </c:pt>
                <c:pt idx="2">
                  <c:v>74.13</c:v>
                </c:pt>
                <c:pt idx="3">
                  <c:v>74.55</c:v>
                </c:pt>
                <c:pt idx="4">
                  <c:v>74.92</c:v>
                </c:pt>
                <c:pt idx="5">
                  <c:v>75.28</c:v>
                </c:pt>
                <c:pt idx="6">
                  <c:v>75.31</c:v>
                </c:pt>
                <c:pt idx="7">
                  <c:v>75.260000000000005</c:v>
                </c:pt>
              </c:numCache>
            </c:numRef>
          </c:val>
          <c:smooth val="0"/>
        </c:ser>
        <c:ser>
          <c:idx val="2"/>
          <c:order val="2"/>
          <c:tx>
            <c:strRef>
              <c:f>Activitat!$D$46</c:f>
              <c:strCache>
                <c:ptCount val="1"/>
                <c:pt idx="0">
                  <c:v> UE-28</c:v>
                </c:pt>
              </c:strCache>
            </c:strRef>
          </c:tx>
          <c:dLbls>
            <c:dLblPos val="b"/>
            <c:showLegendKey val="0"/>
            <c:showVal val="1"/>
            <c:showCatName val="0"/>
            <c:showSerName val="0"/>
            <c:showPercent val="0"/>
            <c:showBubbleSize val="0"/>
            <c:showLeaderLines val="0"/>
          </c:dLbls>
          <c:cat>
            <c:strRef>
              <c:f>Activitat!$A$47:$A$54</c:f>
              <c:strCache>
                <c:ptCount val="8"/>
                <c:pt idx="0">
                  <c:v>     2007</c:v>
                </c:pt>
                <c:pt idx="1">
                  <c:v>     2008</c:v>
                </c:pt>
                <c:pt idx="2">
                  <c:v>     2009</c:v>
                </c:pt>
                <c:pt idx="3">
                  <c:v>     2010</c:v>
                </c:pt>
                <c:pt idx="4">
                  <c:v>     2011</c:v>
                </c:pt>
                <c:pt idx="5">
                  <c:v>     2012</c:v>
                </c:pt>
                <c:pt idx="6">
                  <c:v>     2013</c:v>
                </c:pt>
                <c:pt idx="7">
                  <c:v>     2014</c:v>
                </c:pt>
              </c:strCache>
            </c:strRef>
          </c:cat>
          <c:val>
            <c:numRef>
              <c:f>Activitat!$D$47:$D$54</c:f>
              <c:numCache>
                <c:formatCode>0.0</c:formatCode>
                <c:ptCount val="8"/>
                <c:pt idx="0">
                  <c:v>70.3</c:v>
                </c:pt>
                <c:pt idx="1">
                  <c:v>70.7</c:v>
                </c:pt>
                <c:pt idx="2">
                  <c:v>70.8</c:v>
                </c:pt>
                <c:pt idx="3">
                  <c:v>71</c:v>
                </c:pt>
                <c:pt idx="4">
                  <c:v>71.099999999999994</c:v>
                </c:pt>
                <c:pt idx="5">
                  <c:v>71.7</c:v>
                </c:pt>
                <c:pt idx="6">
                  <c:v>72</c:v>
                </c:pt>
                <c:pt idx="7">
                  <c:v>72.3</c:v>
                </c:pt>
              </c:numCache>
            </c:numRef>
          </c:val>
          <c:smooth val="0"/>
        </c:ser>
        <c:dLbls>
          <c:showLegendKey val="0"/>
          <c:showVal val="1"/>
          <c:showCatName val="0"/>
          <c:showSerName val="0"/>
          <c:showPercent val="0"/>
          <c:showBubbleSize val="0"/>
        </c:dLbls>
        <c:marker val="1"/>
        <c:smooth val="0"/>
        <c:axId val="36432128"/>
        <c:axId val="40046592"/>
      </c:lineChart>
      <c:catAx>
        <c:axId val="36432128"/>
        <c:scaling>
          <c:orientation val="minMax"/>
        </c:scaling>
        <c:delete val="0"/>
        <c:axPos val="b"/>
        <c:majorTickMark val="out"/>
        <c:minorTickMark val="none"/>
        <c:tickLblPos val="nextTo"/>
        <c:crossAx val="40046592"/>
        <c:crosses val="autoZero"/>
        <c:auto val="1"/>
        <c:lblAlgn val="ctr"/>
        <c:lblOffset val="100"/>
        <c:noMultiLvlLbl val="0"/>
      </c:catAx>
      <c:valAx>
        <c:axId val="40046592"/>
        <c:scaling>
          <c:orientation val="minMax"/>
        </c:scaling>
        <c:delete val="1"/>
        <c:axPos val="l"/>
        <c:numFmt formatCode="0.0" sourceLinked="1"/>
        <c:majorTickMark val="out"/>
        <c:minorTickMark val="none"/>
        <c:tickLblPos val="none"/>
        <c:crossAx val="3643212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Activitat!$I$2</c:f>
              <c:strCache>
                <c:ptCount val="1"/>
                <c:pt idx="0">
                  <c:v>Homes </c:v>
                </c:pt>
              </c:strCache>
            </c:strRef>
          </c:tx>
          <c:dLbls>
            <c:dLblPos val="t"/>
            <c:showLegendKey val="0"/>
            <c:showVal val="1"/>
            <c:showCatName val="0"/>
            <c:showSerName val="0"/>
            <c:showPercent val="0"/>
            <c:showBubbleSize val="0"/>
            <c:showLeaderLines val="0"/>
          </c:dLbls>
          <c:cat>
            <c:strRef>
              <c:f>Activitat!$G$3:$G$10</c:f>
              <c:strCache>
                <c:ptCount val="8"/>
                <c:pt idx="0">
                  <c:v>     2007</c:v>
                </c:pt>
                <c:pt idx="1">
                  <c:v>     2008</c:v>
                </c:pt>
                <c:pt idx="2">
                  <c:v>     2009</c:v>
                </c:pt>
                <c:pt idx="3">
                  <c:v>     2010</c:v>
                </c:pt>
                <c:pt idx="4">
                  <c:v>     2011</c:v>
                </c:pt>
                <c:pt idx="5">
                  <c:v>     2012</c:v>
                </c:pt>
                <c:pt idx="6">
                  <c:v>     2013</c:v>
                </c:pt>
                <c:pt idx="7">
                  <c:v>     2014</c:v>
                </c:pt>
              </c:strCache>
            </c:strRef>
          </c:cat>
          <c:val>
            <c:numRef>
              <c:f>Activitat!$I$3:$I$10</c:f>
              <c:numCache>
                <c:formatCode>0.0</c:formatCode>
                <c:ptCount val="8"/>
                <c:pt idx="0">
                  <c:v>86.179999999999978</c:v>
                </c:pt>
                <c:pt idx="1">
                  <c:v>86.33</c:v>
                </c:pt>
                <c:pt idx="2">
                  <c:v>84.86999999999999</c:v>
                </c:pt>
                <c:pt idx="3">
                  <c:v>84.93</c:v>
                </c:pt>
                <c:pt idx="4">
                  <c:v>83.85</c:v>
                </c:pt>
                <c:pt idx="5">
                  <c:v>83.85</c:v>
                </c:pt>
                <c:pt idx="6">
                  <c:v>83.990000000000023</c:v>
                </c:pt>
                <c:pt idx="7">
                  <c:v>83.33</c:v>
                </c:pt>
              </c:numCache>
            </c:numRef>
          </c:val>
          <c:smooth val="0"/>
        </c:ser>
        <c:ser>
          <c:idx val="1"/>
          <c:order val="1"/>
          <c:tx>
            <c:strRef>
              <c:f>Activitat!$J$2</c:f>
              <c:strCache>
                <c:ptCount val="1"/>
                <c:pt idx="0">
                  <c:v>Dones</c:v>
                </c:pt>
              </c:strCache>
            </c:strRef>
          </c:tx>
          <c:dLbls>
            <c:dLblPos val="b"/>
            <c:showLegendKey val="0"/>
            <c:showVal val="1"/>
            <c:showCatName val="0"/>
            <c:showSerName val="0"/>
            <c:showPercent val="0"/>
            <c:showBubbleSize val="0"/>
            <c:showLeaderLines val="0"/>
          </c:dLbls>
          <c:cat>
            <c:strRef>
              <c:f>Activitat!$G$3:$G$10</c:f>
              <c:strCache>
                <c:ptCount val="8"/>
                <c:pt idx="0">
                  <c:v>     2007</c:v>
                </c:pt>
                <c:pt idx="1">
                  <c:v>     2008</c:v>
                </c:pt>
                <c:pt idx="2">
                  <c:v>     2009</c:v>
                </c:pt>
                <c:pt idx="3">
                  <c:v>     2010</c:v>
                </c:pt>
                <c:pt idx="4">
                  <c:v>     2011</c:v>
                </c:pt>
                <c:pt idx="5">
                  <c:v>     2012</c:v>
                </c:pt>
                <c:pt idx="6">
                  <c:v>     2013</c:v>
                </c:pt>
                <c:pt idx="7">
                  <c:v>     2014</c:v>
                </c:pt>
              </c:strCache>
            </c:strRef>
          </c:cat>
          <c:val>
            <c:numRef>
              <c:f>Activitat!$J$3:$J$10</c:f>
              <c:numCache>
                <c:formatCode>0.0</c:formatCode>
                <c:ptCount val="8"/>
                <c:pt idx="0">
                  <c:v>68.400000000000006</c:v>
                </c:pt>
                <c:pt idx="1">
                  <c:v>69.95</c:v>
                </c:pt>
                <c:pt idx="2">
                  <c:v>70.649999999999991</c:v>
                </c:pt>
                <c:pt idx="3">
                  <c:v>73.349999999999994</c:v>
                </c:pt>
                <c:pt idx="4">
                  <c:v>73.52</c:v>
                </c:pt>
                <c:pt idx="5">
                  <c:v>73.52</c:v>
                </c:pt>
                <c:pt idx="6">
                  <c:v>74.09</c:v>
                </c:pt>
                <c:pt idx="7">
                  <c:v>74.669999999999987</c:v>
                </c:pt>
              </c:numCache>
            </c:numRef>
          </c:val>
          <c:smooth val="0"/>
        </c:ser>
        <c:dLbls>
          <c:showLegendKey val="0"/>
          <c:showVal val="0"/>
          <c:showCatName val="0"/>
          <c:showSerName val="0"/>
          <c:showPercent val="0"/>
          <c:showBubbleSize val="0"/>
        </c:dLbls>
        <c:marker val="1"/>
        <c:smooth val="0"/>
        <c:axId val="40072320"/>
        <c:axId val="40073856"/>
      </c:lineChart>
      <c:catAx>
        <c:axId val="40072320"/>
        <c:scaling>
          <c:orientation val="minMax"/>
        </c:scaling>
        <c:delete val="0"/>
        <c:axPos val="b"/>
        <c:majorTickMark val="none"/>
        <c:minorTickMark val="none"/>
        <c:tickLblPos val="nextTo"/>
        <c:crossAx val="40073856"/>
        <c:crosses val="autoZero"/>
        <c:auto val="1"/>
        <c:lblAlgn val="ctr"/>
        <c:lblOffset val="100"/>
        <c:noMultiLvlLbl val="0"/>
      </c:catAx>
      <c:valAx>
        <c:axId val="40073856"/>
        <c:scaling>
          <c:orientation val="minMax"/>
        </c:scaling>
        <c:delete val="0"/>
        <c:axPos val="l"/>
        <c:numFmt formatCode="0.0" sourceLinked="1"/>
        <c:majorTickMark val="none"/>
        <c:minorTickMark val="none"/>
        <c:tickLblPos val="nextTo"/>
        <c:crossAx val="4007232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Activitat!$G$17</c:f>
              <c:strCache>
                <c:ptCount val="1"/>
                <c:pt idx="0">
                  <c:v>16 a 24 anys</c:v>
                </c:pt>
              </c:strCache>
            </c:strRef>
          </c:tx>
          <c:dLbls>
            <c:dLblPos val="t"/>
            <c:showLegendKey val="0"/>
            <c:showVal val="1"/>
            <c:showCatName val="0"/>
            <c:showSerName val="0"/>
            <c:showPercent val="0"/>
            <c:showBubbleSize val="0"/>
            <c:showLeaderLines val="0"/>
          </c:dLbls>
          <c:cat>
            <c:strRef>
              <c:f>Activitat!$H$16:$O$16</c:f>
              <c:strCache>
                <c:ptCount val="8"/>
                <c:pt idx="0">
                  <c:v>2007</c:v>
                </c:pt>
                <c:pt idx="1">
                  <c:v>2008</c:v>
                </c:pt>
                <c:pt idx="2">
                  <c:v>2009</c:v>
                </c:pt>
                <c:pt idx="3">
                  <c:v>2010</c:v>
                </c:pt>
                <c:pt idx="4">
                  <c:v>2011</c:v>
                </c:pt>
                <c:pt idx="5">
                  <c:v>2012</c:v>
                </c:pt>
                <c:pt idx="6">
                  <c:v>2013</c:v>
                </c:pt>
                <c:pt idx="7">
                  <c:v>2014</c:v>
                </c:pt>
              </c:strCache>
            </c:strRef>
          </c:cat>
          <c:val>
            <c:numRef>
              <c:f>Activitat!$H$17:$O$17</c:f>
              <c:numCache>
                <c:formatCode>0.0</c:formatCode>
                <c:ptCount val="8"/>
                <c:pt idx="0">
                  <c:v>57.3</c:v>
                </c:pt>
                <c:pt idx="1">
                  <c:v>56.9</c:v>
                </c:pt>
                <c:pt idx="2">
                  <c:v>54.4</c:v>
                </c:pt>
                <c:pt idx="3">
                  <c:v>52.7</c:v>
                </c:pt>
                <c:pt idx="4">
                  <c:v>51.3</c:v>
                </c:pt>
                <c:pt idx="5">
                  <c:v>48.9</c:v>
                </c:pt>
                <c:pt idx="6">
                  <c:v>48.8</c:v>
                </c:pt>
                <c:pt idx="7">
                  <c:v>45.8</c:v>
                </c:pt>
              </c:numCache>
            </c:numRef>
          </c:val>
          <c:smooth val="0"/>
        </c:ser>
        <c:ser>
          <c:idx val="1"/>
          <c:order val="1"/>
          <c:tx>
            <c:strRef>
              <c:f>Activitat!$G$18</c:f>
              <c:strCache>
                <c:ptCount val="1"/>
                <c:pt idx="0">
                  <c:v>25 a 54 anys</c:v>
                </c:pt>
              </c:strCache>
            </c:strRef>
          </c:tx>
          <c:dLbls>
            <c:dLblPos val="t"/>
            <c:showLegendKey val="0"/>
            <c:showVal val="1"/>
            <c:showCatName val="0"/>
            <c:showSerName val="0"/>
            <c:showPercent val="0"/>
            <c:showBubbleSize val="0"/>
            <c:showLeaderLines val="0"/>
          </c:dLbls>
          <c:cat>
            <c:strRef>
              <c:f>Activitat!$H$16:$O$16</c:f>
              <c:strCache>
                <c:ptCount val="8"/>
                <c:pt idx="0">
                  <c:v>2007</c:v>
                </c:pt>
                <c:pt idx="1">
                  <c:v>2008</c:v>
                </c:pt>
                <c:pt idx="2">
                  <c:v>2009</c:v>
                </c:pt>
                <c:pt idx="3">
                  <c:v>2010</c:v>
                </c:pt>
                <c:pt idx="4">
                  <c:v>2011</c:v>
                </c:pt>
                <c:pt idx="5">
                  <c:v>2012</c:v>
                </c:pt>
                <c:pt idx="6">
                  <c:v>2013</c:v>
                </c:pt>
                <c:pt idx="7">
                  <c:v>2014</c:v>
                </c:pt>
              </c:strCache>
            </c:strRef>
          </c:cat>
          <c:val>
            <c:numRef>
              <c:f>Activitat!$H$18:$O$18</c:f>
              <c:numCache>
                <c:formatCode>0.0</c:formatCode>
                <c:ptCount val="8"/>
                <c:pt idx="0">
                  <c:v>86.8</c:v>
                </c:pt>
                <c:pt idx="1">
                  <c:v>87.4</c:v>
                </c:pt>
                <c:pt idx="2">
                  <c:v>87.5</c:v>
                </c:pt>
                <c:pt idx="3">
                  <c:v>88.5</c:v>
                </c:pt>
                <c:pt idx="4">
                  <c:v>89.4</c:v>
                </c:pt>
                <c:pt idx="5">
                  <c:v>89.3</c:v>
                </c:pt>
                <c:pt idx="6">
                  <c:v>90</c:v>
                </c:pt>
                <c:pt idx="7">
                  <c:v>90.3</c:v>
                </c:pt>
              </c:numCache>
            </c:numRef>
          </c:val>
          <c:smooth val="0"/>
        </c:ser>
        <c:ser>
          <c:idx val="2"/>
          <c:order val="2"/>
          <c:tx>
            <c:strRef>
              <c:f>Activitat!$G$19</c:f>
              <c:strCache>
                <c:ptCount val="1"/>
                <c:pt idx="0">
                  <c:v>55 i més anys</c:v>
                </c:pt>
              </c:strCache>
            </c:strRef>
          </c:tx>
          <c:dLbls>
            <c:dLblPos val="t"/>
            <c:showLegendKey val="0"/>
            <c:showVal val="1"/>
            <c:showCatName val="0"/>
            <c:showSerName val="0"/>
            <c:showPercent val="0"/>
            <c:showBubbleSize val="0"/>
            <c:showLeaderLines val="0"/>
          </c:dLbls>
          <c:cat>
            <c:strRef>
              <c:f>Activitat!$H$16:$O$16</c:f>
              <c:strCache>
                <c:ptCount val="8"/>
                <c:pt idx="0">
                  <c:v>2007</c:v>
                </c:pt>
                <c:pt idx="1">
                  <c:v>2008</c:v>
                </c:pt>
                <c:pt idx="2">
                  <c:v>2009</c:v>
                </c:pt>
                <c:pt idx="3">
                  <c:v>2010</c:v>
                </c:pt>
                <c:pt idx="4">
                  <c:v>2011</c:v>
                </c:pt>
                <c:pt idx="5">
                  <c:v>2012</c:v>
                </c:pt>
                <c:pt idx="6">
                  <c:v>2013</c:v>
                </c:pt>
                <c:pt idx="7">
                  <c:v>2014</c:v>
                </c:pt>
              </c:strCache>
            </c:strRef>
          </c:cat>
          <c:val>
            <c:numRef>
              <c:f>Activitat!$H$19:$O$19</c:f>
              <c:numCache>
                <c:formatCode>0.0</c:formatCode>
                <c:ptCount val="8"/>
                <c:pt idx="0">
                  <c:v>23.4</c:v>
                </c:pt>
                <c:pt idx="1">
                  <c:v>24.5</c:v>
                </c:pt>
                <c:pt idx="2">
                  <c:v>24.1</c:v>
                </c:pt>
                <c:pt idx="3">
                  <c:v>24.3</c:v>
                </c:pt>
                <c:pt idx="4">
                  <c:v>24.8</c:v>
                </c:pt>
                <c:pt idx="5">
                  <c:v>24.8</c:v>
                </c:pt>
                <c:pt idx="6">
                  <c:v>24.5</c:v>
                </c:pt>
                <c:pt idx="7">
                  <c:v>24.8</c:v>
                </c:pt>
              </c:numCache>
            </c:numRef>
          </c:val>
          <c:smooth val="0"/>
        </c:ser>
        <c:dLbls>
          <c:showLegendKey val="0"/>
          <c:showVal val="1"/>
          <c:showCatName val="0"/>
          <c:showSerName val="0"/>
          <c:showPercent val="0"/>
          <c:showBubbleSize val="0"/>
        </c:dLbls>
        <c:marker val="1"/>
        <c:smooth val="0"/>
        <c:axId val="40113664"/>
        <c:axId val="40115200"/>
      </c:lineChart>
      <c:catAx>
        <c:axId val="40113664"/>
        <c:scaling>
          <c:orientation val="minMax"/>
        </c:scaling>
        <c:delete val="0"/>
        <c:axPos val="b"/>
        <c:majorTickMark val="none"/>
        <c:minorTickMark val="none"/>
        <c:tickLblPos val="nextTo"/>
        <c:crossAx val="40115200"/>
        <c:crosses val="autoZero"/>
        <c:auto val="1"/>
        <c:lblAlgn val="ctr"/>
        <c:lblOffset val="100"/>
        <c:noMultiLvlLbl val="0"/>
      </c:catAx>
      <c:valAx>
        <c:axId val="40115200"/>
        <c:scaling>
          <c:orientation val="minMax"/>
        </c:scaling>
        <c:delete val="0"/>
        <c:axPos val="l"/>
        <c:numFmt formatCode="0.0" sourceLinked="1"/>
        <c:majorTickMark val="none"/>
        <c:minorTickMark val="none"/>
        <c:tickLblPos val="nextTo"/>
        <c:crossAx val="40113664"/>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Activitat!$G$28</c:f>
              <c:strCache>
                <c:ptCount val="1"/>
                <c:pt idx="0">
                  <c:v>Nacionalitat Espanyola</c:v>
                </c:pt>
              </c:strCache>
            </c:strRef>
          </c:tx>
          <c:dLbls>
            <c:dLbl>
              <c:idx val="7"/>
              <c:layout>
                <c:manualLayout>
                  <c:x val="8.8300220750551876E-3"/>
                  <c:y val="-0.12300123001230012"/>
                </c:manualLayout>
              </c:layout>
              <c:dLblPos val="b"/>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Activitat!$F$29:$F$36</c:f>
              <c:strCache>
                <c:ptCount val="8"/>
                <c:pt idx="0">
                  <c:v>        2007</c:v>
                </c:pt>
                <c:pt idx="1">
                  <c:v>        2008</c:v>
                </c:pt>
                <c:pt idx="2">
                  <c:v>        2009</c:v>
                </c:pt>
                <c:pt idx="3">
                  <c:v>        2010</c:v>
                </c:pt>
                <c:pt idx="4">
                  <c:v>        2011</c:v>
                </c:pt>
                <c:pt idx="5">
                  <c:v>        2012</c:v>
                </c:pt>
                <c:pt idx="6">
                  <c:v>        2013</c:v>
                </c:pt>
                <c:pt idx="7">
                  <c:v>        2014</c:v>
                </c:pt>
              </c:strCache>
            </c:strRef>
          </c:cat>
          <c:val>
            <c:numRef>
              <c:f>Activitat!$G$29:$G$36</c:f>
              <c:numCache>
                <c:formatCode>0.0%</c:formatCode>
                <c:ptCount val="8"/>
                <c:pt idx="0">
                  <c:v>0.7719993111761837</c:v>
                </c:pt>
                <c:pt idx="1">
                  <c:v>0.7793005206798409</c:v>
                </c:pt>
                <c:pt idx="2">
                  <c:v>0.77680659854733469</c:v>
                </c:pt>
                <c:pt idx="3">
                  <c:v>0.77983928439781913</c:v>
                </c:pt>
                <c:pt idx="4">
                  <c:v>0.78578971928188246</c:v>
                </c:pt>
                <c:pt idx="5">
                  <c:v>0.78670148555098462</c:v>
                </c:pt>
                <c:pt idx="6">
                  <c:v>0.79024570934683291</c:v>
                </c:pt>
                <c:pt idx="7">
                  <c:v>0.79118552259018726</c:v>
                </c:pt>
              </c:numCache>
            </c:numRef>
          </c:val>
          <c:smooth val="0"/>
        </c:ser>
        <c:ser>
          <c:idx val="1"/>
          <c:order val="1"/>
          <c:tx>
            <c:strRef>
              <c:f>Activitat!$H$28</c:f>
              <c:strCache>
                <c:ptCount val="1"/>
                <c:pt idx="0">
                  <c:v>Nacionalitat Estrangera</c:v>
                </c:pt>
              </c:strCache>
            </c:strRef>
          </c:tx>
          <c:dLbls>
            <c:dLbl>
              <c:idx val="7"/>
              <c:layout>
                <c:manualLayout>
                  <c:x val="1.177336276674025E-2"/>
                  <c:y val="0.13776137761377613"/>
                </c:manualLayout>
              </c:layout>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Activitat!$F$29:$F$36</c:f>
              <c:strCache>
                <c:ptCount val="8"/>
                <c:pt idx="0">
                  <c:v>        2007</c:v>
                </c:pt>
                <c:pt idx="1">
                  <c:v>        2008</c:v>
                </c:pt>
                <c:pt idx="2">
                  <c:v>        2009</c:v>
                </c:pt>
                <c:pt idx="3">
                  <c:v>        2010</c:v>
                </c:pt>
                <c:pt idx="4">
                  <c:v>        2011</c:v>
                </c:pt>
                <c:pt idx="5">
                  <c:v>        2012</c:v>
                </c:pt>
                <c:pt idx="6">
                  <c:v>        2013</c:v>
                </c:pt>
                <c:pt idx="7">
                  <c:v>        2014</c:v>
                </c:pt>
              </c:strCache>
            </c:strRef>
          </c:cat>
          <c:val>
            <c:numRef>
              <c:f>Activitat!$H$29:$H$36</c:f>
              <c:numCache>
                <c:formatCode>0.0%</c:formatCode>
                <c:ptCount val="8"/>
                <c:pt idx="0">
                  <c:v>0.78744362686921432</c:v>
                </c:pt>
                <c:pt idx="1">
                  <c:v>0.7997169914008927</c:v>
                </c:pt>
                <c:pt idx="2">
                  <c:v>0.78774432118330695</c:v>
                </c:pt>
                <c:pt idx="3">
                  <c:v>0.80199739470256159</c:v>
                </c:pt>
                <c:pt idx="4">
                  <c:v>0.81674460031174445</c:v>
                </c:pt>
                <c:pt idx="5">
                  <c:v>0.79000690766751092</c:v>
                </c:pt>
                <c:pt idx="6">
                  <c:v>0.79251403618215854</c:v>
                </c:pt>
                <c:pt idx="7">
                  <c:v>0.78377253814147063</c:v>
                </c:pt>
              </c:numCache>
            </c:numRef>
          </c:val>
          <c:smooth val="0"/>
        </c:ser>
        <c:dLbls>
          <c:showLegendKey val="0"/>
          <c:showVal val="0"/>
          <c:showCatName val="0"/>
          <c:showSerName val="0"/>
          <c:showPercent val="0"/>
          <c:showBubbleSize val="0"/>
        </c:dLbls>
        <c:marker val="1"/>
        <c:smooth val="0"/>
        <c:axId val="40140800"/>
        <c:axId val="40142336"/>
      </c:lineChart>
      <c:catAx>
        <c:axId val="40140800"/>
        <c:scaling>
          <c:orientation val="minMax"/>
        </c:scaling>
        <c:delete val="0"/>
        <c:axPos val="b"/>
        <c:majorTickMark val="none"/>
        <c:minorTickMark val="none"/>
        <c:tickLblPos val="nextTo"/>
        <c:crossAx val="40142336"/>
        <c:crosses val="autoZero"/>
        <c:auto val="1"/>
        <c:lblAlgn val="ctr"/>
        <c:lblOffset val="100"/>
        <c:noMultiLvlLbl val="0"/>
      </c:catAx>
      <c:valAx>
        <c:axId val="40142336"/>
        <c:scaling>
          <c:orientation val="minMax"/>
        </c:scaling>
        <c:delete val="0"/>
        <c:axPos val="l"/>
        <c:numFmt formatCode="0.0%" sourceLinked="1"/>
        <c:majorTickMark val="none"/>
        <c:minorTickMark val="none"/>
        <c:tickLblPos val="nextTo"/>
        <c:crossAx val="40140800"/>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Ocupació!$I$54</c:f>
              <c:strCache>
                <c:ptCount val="1"/>
                <c:pt idx="0">
                  <c:v>Catalunya</c:v>
                </c:pt>
              </c:strCache>
            </c:strRef>
          </c:tx>
          <c:cat>
            <c:strRef>
              <c:f>Ocupació!$H$56:$H$62</c:f>
              <c:strCache>
                <c:ptCount val="7"/>
                <c:pt idx="0">
                  <c:v>     2008</c:v>
                </c:pt>
                <c:pt idx="1">
                  <c:v>     2009</c:v>
                </c:pt>
                <c:pt idx="2">
                  <c:v>     2010</c:v>
                </c:pt>
                <c:pt idx="3">
                  <c:v>     2011</c:v>
                </c:pt>
                <c:pt idx="4">
                  <c:v>     2012</c:v>
                </c:pt>
                <c:pt idx="5">
                  <c:v>     2013</c:v>
                </c:pt>
                <c:pt idx="6">
                  <c:v>     2014</c:v>
                </c:pt>
              </c:strCache>
            </c:strRef>
          </c:cat>
          <c:val>
            <c:numRef>
              <c:f>Ocupació!$I$56:$I$62</c:f>
              <c:numCache>
                <c:formatCode>0.0</c:formatCode>
                <c:ptCount val="7"/>
                <c:pt idx="0">
                  <c:v>71.31</c:v>
                </c:pt>
                <c:pt idx="1">
                  <c:v>65.179999999999978</c:v>
                </c:pt>
                <c:pt idx="2">
                  <c:v>64.45</c:v>
                </c:pt>
                <c:pt idx="3">
                  <c:v>63.86</c:v>
                </c:pt>
                <c:pt idx="4">
                  <c:v>60.879999999999995</c:v>
                </c:pt>
                <c:pt idx="5">
                  <c:v>60.690000000000012</c:v>
                </c:pt>
                <c:pt idx="6">
                  <c:v>62.86</c:v>
                </c:pt>
              </c:numCache>
            </c:numRef>
          </c:val>
          <c:smooth val="0"/>
        </c:ser>
        <c:ser>
          <c:idx val="1"/>
          <c:order val="1"/>
          <c:tx>
            <c:strRef>
              <c:f>Ocupació!$J$54</c:f>
              <c:strCache>
                <c:ptCount val="1"/>
                <c:pt idx="0">
                  <c:v>Espanya</c:v>
                </c:pt>
              </c:strCache>
            </c:strRef>
          </c:tx>
          <c:cat>
            <c:strRef>
              <c:f>Ocupació!$H$56:$H$62</c:f>
              <c:strCache>
                <c:ptCount val="7"/>
                <c:pt idx="0">
                  <c:v>     2008</c:v>
                </c:pt>
                <c:pt idx="1">
                  <c:v>     2009</c:v>
                </c:pt>
                <c:pt idx="2">
                  <c:v>     2010</c:v>
                </c:pt>
                <c:pt idx="3">
                  <c:v>     2011</c:v>
                </c:pt>
                <c:pt idx="4">
                  <c:v>     2012</c:v>
                </c:pt>
                <c:pt idx="5">
                  <c:v>     2013</c:v>
                </c:pt>
                <c:pt idx="6">
                  <c:v>     2014</c:v>
                </c:pt>
              </c:strCache>
            </c:strRef>
          </c:cat>
          <c:val>
            <c:numRef>
              <c:f>Ocupació!$J$56:$J$62</c:f>
              <c:numCache>
                <c:formatCode>0.0</c:formatCode>
                <c:ptCount val="7"/>
                <c:pt idx="0">
                  <c:v>65.440000000000026</c:v>
                </c:pt>
                <c:pt idx="1">
                  <c:v>60.82</c:v>
                </c:pt>
                <c:pt idx="2">
                  <c:v>59.660000000000011</c:v>
                </c:pt>
                <c:pt idx="3">
                  <c:v>58.8</c:v>
                </c:pt>
                <c:pt idx="4">
                  <c:v>56.51</c:v>
                </c:pt>
                <c:pt idx="5">
                  <c:v>55.57</c:v>
                </c:pt>
                <c:pt idx="6">
                  <c:v>56.78</c:v>
                </c:pt>
              </c:numCache>
            </c:numRef>
          </c:val>
          <c:smooth val="0"/>
        </c:ser>
        <c:ser>
          <c:idx val="2"/>
          <c:order val="2"/>
          <c:tx>
            <c:strRef>
              <c:f>Ocupació!$K$54</c:f>
              <c:strCache>
                <c:ptCount val="1"/>
                <c:pt idx="0">
                  <c:v>UE 27</c:v>
                </c:pt>
              </c:strCache>
            </c:strRef>
          </c:tx>
          <c:cat>
            <c:strRef>
              <c:f>Ocupació!$H$56:$H$62</c:f>
              <c:strCache>
                <c:ptCount val="7"/>
                <c:pt idx="0">
                  <c:v>     2008</c:v>
                </c:pt>
                <c:pt idx="1">
                  <c:v>     2009</c:v>
                </c:pt>
                <c:pt idx="2">
                  <c:v>     2010</c:v>
                </c:pt>
                <c:pt idx="3">
                  <c:v>     2011</c:v>
                </c:pt>
                <c:pt idx="4">
                  <c:v>     2012</c:v>
                </c:pt>
                <c:pt idx="5">
                  <c:v>     2013</c:v>
                </c:pt>
                <c:pt idx="6">
                  <c:v>     2014</c:v>
                </c:pt>
              </c:strCache>
            </c:strRef>
          </c:cat>
          <c:val>
            <c:numRef>
              <c:f>Ocupació!$K$56:$K$62</c:f>
              <c:numCache>
                <c:formatCode>0.0</c:formatCode>
                <c:ptCount val="7"/>
                <c:pt idx="0">
                  <c:v>65.7</c:v>
                </c:pt>
                <c:pt idx="1">
                  <c:v>64.400000000000006</c:v>
                </c:pt>
                <c:pt idx="2">
                  <c:v>64.099999999999994</c:v>
                </c:pt>
                <c:pt idx="3">
                  <c:v>64.2</c:v>
                </c:pt>
                <c:pt idx="4">
                  <c:v>64.099999999999994</c:v>
                </c:pt>
                <c:pt idx="5">
                  <c:v>64.099999999999994</c:v>
                </c:pt>
                <c:pt idx="6">
                  <c:v>64.8</c:v>
                </c:pt>
              </c:numCache>
            </c:numRef>
          </c:val>
          <c:smooth val="0"/>
        </c:ser>
        <c:dLbls>
          <c:showLegendKey val="0"/>
          <c:showVal val="0"/>
          <c:showCatName val="0"/>
          <c:showSerName val="0"/>
          <c:showPercent val="0"/>
          <c:showBubbleSize val="0"/>
        </c:dLbls>
        <c:marker val="1"/>
        <c:smooth val="0"/>
        <c:axId val="40168064"/>
        <c:axId val="40444288"/>
      </c:lineChart>
      <c:catAx>
        <c:axId val="40168064"/>
        <c:scaling>
          <c:orientation val="minMax"/>
        </c:scaling>
        <c:delete val="0"/>
        <c:axPos val="b"/>
        <c:majorTickMark val="none"/>
        <c:minorTickMark val="none"/>
        <c:tickLblPos val="nextTo"/>
        <c:crossAx val="40444288"/>
        <c:crosses val="autoZero"/>
        <c:auto val="1"/>
        <c:lblAlgn val="ctr"/>
        <c:lblOffset val="100"/>
        <c:noMultiLvlLbl val="0"/>
      </c:catAx>
      <c:valAx>
        <c:axId val="40444288"/>
        <c:scaling>
          <c:orientation val="minMax"/>
        </c:scaling>
        <c:delete val="0"/>
        <c:axPos val="l"/>
        <c:majorGridlines/>
        <c:numFmt formatCode="0.0" sourceLinked="1"/>
        <c:majorTickMark val="none"/>
        <c:minorTickMark val="none"/>
        <c:tickLblPos val="nextTo"/>
        <c:crossAx val="401680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Ocupació!$I$4</c:f>
              <c:strCache>
                <c:ptCount val="1"/>
                <c:pt idx="0">
                  <c:v>Homes </c:v>
                </c:pt>
              </c:strCache>
            </c:strRef>
          </c:tx>
          <c:dLbls>
            <c:dLblPos val="t"/>
            <c:showLegendKey val="0"/>
            <c:showVal val="1"/>
            <c:showCatName val="0"/>
            <c:showSerName val="0"/>
            <c:showPercent val="0"/>
            <c:showBubbleSize val="0"/>
            <c:showLeaderLines val="0"/>
          </c:dLbls>
          <c:cat>
            <c:strRef>
              <c:f>Ocupació!$G$5:$G$12</c:f>
              <c:strCache>
                <c:ptCount val="8"/>
                <c:pt idx="0">
                  <c:v>2007</c:v>
                </c:pt>
                <c:pt idx="1">
                  <c:v>2008</c:v>
                </c:pt>
                <c:pt idx="2">
                  <c:v>2009</c:v>
                </c:pt>
                <c:pt idx="3">
                  <c:v>2010</c:v>
                </c:pt>
                <c:pt idx="4">
                  <c:v>2011</c:v>
                </c:pt>
                <c:pt idx="5">
                  <c:v>2012</c:v>
                </c:pt>
                <c:pt idx="6">
                  <c:v>2013</c:v>
                </c:pt>
                <c:pt idx="7">
                  <c:v>2014</c:v>
                </c:pt>
              </c:strCache>
            </c:strRef>
          </c:cat>
          <c:val>
            <c:numRef>
              <c:f>Ocupació!$I$5:$I$12</c:f>
              <c:numCache>
                <c:formatCode>#,##0.0</c:formatCode>
                <c:ptCount val="8"/>
                <c:pt idx="0">
                  <c:v>81.34</c:v>
                </c:pt>
                <c:pt idx="1">
                  <c:v>78.47</c:v>
                </c:pt>
                <c:pt idx="2">
                  <c:v>70.169999999999987</c:v>
                </c:pt>
                <c:pt idx="3">
                  <c:v>69.03</c:v>
                </c:pt>
                <c:pt idx="4">
                  <c:v>67.88</c:v>
                </c:pt>
                <c:pt idx="5">
                  <c:v>64.27</c:v>
                </c:pt>
                <c:pt idx="6">
                  <c:v>63.99</c:v>
                </c:pt>
                <c:pt idx="7">
                  <c:v>66.02</c:v>
                </c:pt>
              </c:numCache>
            </c:numRef>
          </c:val>
          <c:smooth val="0"/>
        </c:ser>
        <c:ser>
          <c:idx val="1"/>
          <c:order val="1"/>
          <c:tx>
            <c:strRef>
              <c:f>Ocupació!$J$4</c:f>
              <c:strCache>
                <c:ptCount val="1"/>
                <c:pt idx="0">
                  <c:v>Dones</c:v>
                </c:pt>
              </c:strCache>
            </c:strRef>
          </c:tx>
          <c:dLbls>
            <c:dLblPos val="b"/>
            <c:showLegendKey val="0"/>
            <c:showVal val="1"/>
            <c:showCatName val="0"/>
            <c:showSerName val="0"/>
            <c:showPercent val="0"/>
            <c:showBubbleSize val="0"/>
            <c:showLeaderLines val="0"/>
          </c:dLbls>
          <c:cat>
            <c:strRef>
              <c:f>Ocupació!$G$5:$G$12</c:f>
              <c:strCache>
                <c:ptCount val="8"/>
                <c:pt idx="0">
                  <c:v>2007</c:v>
                </c:pt>
                <c:pt idx="1">
                  <c:v>2008</c:v>
                </c:pt>
                <c:pt idx="2">
                  <c:v>2009</c:v>
                </c:pt>
                <c:pt idx="3">
                  <c:v>2010</c:v>
                </c:pt>
                <c:pt idx="4">
                  <c:v>2011</c:v>
                </c:pt>
                <c:pt idx="5">
                  <c:v>2012</c:v>
                </c:pt>
                <c:pt idx="6">
                  <c:v>2013</c:v>
                </c:pt>
                <c:pt idx="7">
                  <c:v>2014</c:v>
                </c:pt>
              </c:strCache>
            </c:strRef>
          </c:cat>
          <c:val>
            <c:numRef>
              <c:f>Ocupació!$J$5:$J$12</c:f>
              <c:numCache>
                <c:formatCode>#,##0.0</c:formatCode>
                <c:ptCount val="8"/>
                <c:pt idx="0">
                  <c:v>63.160000000000011</c:v>
                </c:pt>
                <c:pt idx="1">
                  <c:v>63.839999999999996</c:v>
                </c:pt>
                <c:pt idx="2">
                  <c:v>60</c:v>
                </c:pt>
                <c:pt idx="3">
                  <c:v>59.720000000000013</c:v>
                </c:pt>
                <c:pt idx="4">
                  <c:v>59.730000000000011</c:v>
                </c:pt>
                <c:pt idx="5">
                  <c:v>57.44</c:v>
                </c:pt>
                <c:pt idx="6">
                  <c:v>57.36</c:v>
                </c:pt>
                <c:pt idx="7">
                  <c:v>59.68</c:v>
                </c:pt>
              </c:numCache>
            </c:numRef>
          </c:val>
          <c:smooth val="0"/>
        </c:ser>
        <c:dLbls>
          <c:showLegendKey val="0"/>
          <c:showVal val="1"/>
          <c:showCatName val="0"/>
          <c:showSerName val="0"/>
          <c:showPercent val="0"/>
          <c:showBubbleSize val="0"/>
        </c:dLbls>
        <c:marker val="1"/>
        <c:smooth val="0"/>
        <c:axId val="40454784"/>
        <c:axId val="40472960"/>
      </c:lineChart>
      <c:catAx>
        <c:axId val="40454784"/>
        <c:scaling>
          <c:orientation val="minMax"/>
        </c:scaling>
        <c:delete val="0"/>
        <c:axPos val="b"/>
        <c:majorTickMark val="none"/>
        <c:minorTickMark val="none"/>
        <c:tickLblPos val="nextTo"/>
        <c:crossAx val="40472960"/>
        <c:crosses val="autoZero"/>
        <c:auto val="1"/>
        <c:lblAlgn val="ctr"/>
        <c:lblOffset val="100"/>
        <c:noMultiLvlLbl val="0"/>
      </c:catAx>
      <c:valAx>
        <c:axId val="40472960"/>
        <c:scaling>
          <c:orientation val="minMax"/>
        </c:scaling>
        <c:delete val="0"/>
        <c:axPos val="l"/>
        <c:numFmt formatCode="#,##0.0" sourceLinked="1"/>
        <c:majorTickMark val="none"/>
        <c:minorTickMark val="none"/>
        <c:tickLblPos val="nextTo"/>
        <c:crossAx val="4045478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79CF-A5D3-4CC8-A974-FDDAE31C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11795</Words>
  <Characters>67238</Characters>
  <Application>Microsoft Office Word</Application>
  <DocSecurity>0</DocSecurity>
  <Lines>560</Lines>
  <Paragraphs>157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1</vt:lpstr>
      <vt:lpstr>1</vt:lpstr>
    </vt:vector>
  </TitlesOfParts>
  <Company>Microsoft</Company>
  <LinksUpToDate>false</LinksUpToDate>
  <CharactersWithSpaces>78876</CharactersWithSpaces>
  <SharedDoc>false</SharedDoc>
  <HLinks>
    <vt:vector size="6" baseType="variant">
      <vt:variant>
        <vt:i4>5898258</vt:i4>
      </vt:variant>
      <vt:variant>
        <vt:i4>0</vt:i4>
      </vt:variant>
      <vt:variant>
        <vt:i4>0</vt:i4>
      </vt:variant>
      <vt:variant>
        <vt:i4>5</vt:i4>
      </vt:variant>
      <vt:variant>
        <vt:lpwstr>http://www.ces.es/documents/10180/526241/Inf0313.pdf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dmallafre</dc:creator>
  <cp:lastModifiedBy>Rai Barba</cp:lastModifiedBy>
  <cp:revision>2</cp:revision>
  <cp:lastPrinted>2015-12-02T11:15:00Z</cp:lastPrinted>
  <dcterms:created xsi:type="dcterms:W3CDTF">2015-12-04T13:18:00Z</dcterms:created>
  <dcterms:modified xsi:type="dcterms:W3CDTF">2015-12-04T13:18:00Z</dcterms:modified>
</cp:coreProperties>
</file>